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 xml:space="preserve">do not need to answer all </w:t>
      </w:r>
      <w:proofErr w:type="gramStart"/>
      <w:r w:rsidR="00082C3C" w:rsidRPr="00EB6705">
        <w:rPr>
          <w:rFonts w:ascii="Open Sans" w:hAnsi="Open Sans" w:cs="Open Sans"/>
          <w:sz w:val="20"/>
          <w:szCs w:val="20"/>
          <w:lang w:val="en-US"/>
        </w:rPr>
        <w:t>questions</w:t>
      </w:r>
      <w:proofErr w:type="gramEnd"/>
      <w:r w:rsidR="00082C3C" w:rsidRPr="00EB6705">
        <w:rPr>
          <w:rFonts w:ascii="Open Sans" w:hAnsi="Open Sans" w:cs="Open Sans"/>
          <w:sz w:val="20"/>
          <w:szCs w:val="20"/>
          <w:lang w:val="en-US"/>
        </w:rPr>
        <w:t xml:space="preserve">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proofErr w:type="gramStart"/>
      <w:r w:rsidRPr="00EB6705">
        <w:rPr>
          <w:rStyle w:val="Hyperlink"/>
          <w:rFonts w:ascii="Open Sans" w:hAnsi="Open Sans" w:cs="Open Sans"/>
          <w:sz w:val="20"/>
          <w:szCs w:val="20"/>
          <w:lang w:val="en-US"/>
        </w:rPr>
        <w:t>say</w:t>
      </w:r>
      <w:proofErr w:type="gramEnd"/>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375C635F" w:rsidR="00F6667F" w:rsidRPr="00EB6705" w:rsidRDefault="00D75931">
            <w:pPr>
              <w:rPr>
                <w:rFonts w:ascii="Open Sans" w:hAnsi="Open Sans" w:cs="Open Sans"/>
                <w:sz w:val="20"/>
                <w:szCs w:val="20"/>
              </w:rPr>
            </w:pPr>
            <w:r>
              <w:rPr>
                <w:rFonts w:ascii="Open Sans" w:hAnsi="Open Sans" w:cs="Open Sans"/>
                <w:sz w:val="20"/>
                <w:szCs w:val="20"/>
              </w:rPr>
              <w:t>Nic</w:t>
            </w:r>
            <w:r w:rsidR="00180B89">
              <w:rPr>
                <w:rFonts w:ascii="Open Sans" w:hAnsi="Open Sans" w:cs="Open Sans"/>
                <w:sz w:val="20"/>
                <w:szCs w:val="20"/>
              </w:rPr>
              <w:t>k</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32F1885F" w:rsidR="00F6667F" w:rsidRPr="00EB6705" w:rsidRDefault="00D75931">
            <w:pPr>
              <w:rPr>
                <w:rFonts w:ascii="Open Sans" w:hAnsi="Open Sans" w:cs="Open Sans"/>
                <w:sz w:val="20"/>
                <w:szCs w:val="20"/>
              </w:rPr>
            </w:pPr>
            <w:r>
              <w:rPr>
                <w:rFonts w:ascii="Open Sans" w:hAnsi="Open Sans" w:cs="Open Sans"/>
                <w:sz w:val="20"/>
                <w:szCs w:val="20"/>
              </w:rPr>
              <w:t>RSM UK</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7A372759" w:rsidR="00DB7739" w:rsidRPr="00EB6705" w:rsidRDefault="00D75931">
            <w:pPr>
              <w:rPr>
                <w:rFonts w:ascii="Open Sans" w:hAnsi="Open Sans" w:cs="Open Sans"/>
                <w:sz w:val="20"/>
                <w:szCs w:val="20"/>
              </w:rPr>
            </w:pPr>
            <w:r>
              <w:rPr>
                <w:rFonts w:ascii="Open Sans" w:hAnsi="Open Sans" w:cs="Open Sans"/>
                <w:sz w:val="20"/>
                <w:szCs w:val="20"/>
              </w:rPr>
              <w:t>Sladden</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16D0D1CF" w:rsidR="00DB7739" w:rsidRPr="00EB6705" w:rsidRDefault="00D75931">
            <w:pPr>
              <w:rPr>
                <w:rFonts w:ascii="Open Sans" w:hAnsi="Open Sans" w:cs="Open Sans"/>
                <w:sz w:val="20"/>
                <w:szCs w:val="20"/>
              </w:rPr>
            </w:pPr>
            <w:r>
              <w:rPr>
                <w:rFonts w:ascii="Open Sans" w:hAnsi="Open Sans" w:cs="Open Sans"/>
                <w:sz w:val="20"/>
                <w:szCs w:val="20"/>
              </w:rPr>
              <w:t>On behalf of my organisation</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00FA986B" w:rsidR="000C4E37" w:rsidRDefault="0065024D" w:rsidP="000C4E37">
            <w:pPr>
              <w:rPr>
                <w:rFonts w:ascii="Open Sans" w:hAnsi="Open Sans" w:cs="Open Sans"/>
                <w:sz w:val="20"/>
                <w:szCs w:val="20"/>
              </w:rPr>
            </w:pPr>
            <w:hyperlink r:id="rId13" w:history="1">
              <w:r w:rsidR="00D75931" w:rsidRPr="000E4B37">
                <w:rPr>
                  <w:rStyle w:val="Hyperlink"/>
                  <w:rFonts w:ascii="Open Sans" w:hAnsi="Open Sans" w:cs="Open Sans"/>
                  <w:sz w:val="20"/>
                  <w:szCs w:val="20"/>
                </w:rPr>
                <w:t>Nick.sladden@rsmuk.com</w:t>
              </w:r>
            </w:hyperlink>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5DC217EA" w:rsidR="000C4E37" w:rsidRPr="00EB6705" w:rsidRDefault="00D75931" w:rsidP="000C4E37">
            <w:pPr>
              <w:rPr>
                <w:rFonts w:ascii="Open Sans" w:hAnsi="Open Sans" w:cs="Open Sans"/>
                <w:sz w:val="20"/>
                <w:szCs w:val="20"/>
              </w:rPr>
            </w:pPr>
            <w:r>
              <w:rPr>
                <w:rFonts w:ascii="Open Sans" w:hAnsi="Open Sans" w:cs="Open Sans"/>
                <w:sz w:val="20"/>
                <w:szCs w:val="20"/>
              </w:rPr>
              <w:t>United Kingdom</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00E1DDE0" w:rsidR="000C4E37" w:rsidRPr="00EB6705" w:rsidRDefault="00D75931" w:rsidP="000C4E37">
            <w:pPr>
              <w:rPr>
                <w:rFonts w:ascii="Open Sans" w:hAnsi="Open Sans" w:cs="Open Sans"/>
                <w:sz w:val="20"/>
                <w:szCs w:val="20"/>
              </w:rPr>
            </w:pPr>
            <w:r>
              <w:rPr>
                <w:rFonts w:ascii="Open Sans" w:hAnsi="Open Sans" w:cs="Open Sans"/>
                <w:sz w:val="20"/>
                <w:szCs w:val="20"/>
              </w:rPr>
              <w:t>Partner, Head of Charities</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1AD8E91D" w:rsidR="000C4E37" w:rsidRPr="00EB6705" w:rsidRDefault="00D75931" w:rsidP="000C4E37">
            <w:pPr>
              <w:rPr>
                <w:rFonts w:ascii="Open Sans" w:hAnsi="Open Sans" w:cs="Open Sans"/>
                <w:sz w:val="20"/>
                <w:szCs w:val="20"/>
              </w:rPr>
            </w:pPr>
            <w:r>
              <w:rPr>
                <w:rFonts w:ascii="Open Sans" w:hAnsi="Open Sans" w:cs="Open Sans"/>
                <w:sz w:val="20"/>
                <w:szCs w:val="20"/>
              </w:rPr>
              <w:t>Auditor</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7D8C6E04" w14:textId="2CE99BEE"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p>
          <w:p w14:paraId="47BD80E9" w14:textId="0E73C339" w:rsidR="006C21F6" w:rsidRPr="006C21F6" w:rsidRDefault="006C21F6" w:rsidP="00B9538E">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1D5E10" w14:paraId="3802E186" w14:textId="77777777" w:rsidTr="000D4C1B">
        <w:tc>
          <w:tcPr>
            <w:tcW w:w="14312" w:type="dxa"/>
            <w:gridSpan w:val="3"/>
          </w:tcPr>
          <w:p w14:paraId="04AAE639" w14:textId="77777777" w:rsidR="0021502E" w:rsidRPr="009F66D3" w:rsidRDefault="0021502E" w:rsidP="00A959C4">
            <w:pPr>
              <w:jc w:val="both"/>
              <w:rPr>
                <w:rFonts w:ascii="Open Sans" w:hAnsi="Open Sans" w:cs="Open Sans"/>
                <w:b/>
                <w:bCs/>
                <w:sz w:val="20"/>
                <w:szCs w:val="20"/>
                <w:lang w:val="en-US"/>
              </w:rPr>
            </w:pPr>
            <w:r w:rsidRPr="009F66D3">
              <w:rPr>
                <w:rFonts w:ascii="Open Sans" w:hAnsi="Open Sans" w:cs="Open Sans"/>
                <w:b/>
                <w:bCs/>
                <w:sz w:val="20"/>
                <w:szCs w:val="20"/>
                <w:lang w:val="en-US"/>
              </w:rPr>
              <w:t>Question 1: Financial instruments</w:t>
            </w:r>
          </w:p>
          <w:p w14:paraId="2B4EBEB3" w14:textId="77777777" w:rsidR="0021502E" w:rsidRPr="009F66D3" w:rsidRDefault="0021502E" w:rsidP="00A959C4">
            <w:pPr>
              <w:jc w:val="both"/>
              <w:rPr>
                <w:rFonts w:ascii="Open Sans" w:hAnsi="Open Sans" w:cs="Open Sans"/>
                <w:b/>
                <w:bCs/>
                <w:sz w:val="20"/>
                <w:szCs w:val="20"/>
                <w:lang w:val="en-US"/>
              </w:rPr>
            </w:pPr>
          </w:p>
          <w:p w14:paraId="38E8048A" w14:textId="6B508C05" w:rsidR="0021502E" w:rsidRPr="009F66D3" w:rsidRDefault="0021502E" w:rsidP="00A959C4">
            <w:pPr>
              <w:jc w:val="both"/>
              <w:rPr>
                <w:rFonts w:ascii="Open Sans" w:hAnsi="Open Sans" w:cs="Open Sans"/>
                <w:b/>
                <w:bCs/>
                <w:sz w:val="20"/>
                <w:szCs w:val="20"/>
                <w:lang w:val="en-US"/>
              </w:rPr>
            </w:pPr>
            <w:r w:rsidRPr="009F66D3">
              <w:rPr>
                <w:rFonts w:ascii="Open Sans" w:hAnsi="Open Sans" w:cs="Open Sans"/>
                <w:b/>
                <w:bCs/>
                <w:color w:val="000000" w:themeColor="text1"/>
                <w:sz w:val="20"/>
                <w:szCs w:val="20"/>
              </w:rPr>
              <w:t>INPAG Section 11</w:t>
            </w:r>
            <w:r w:rsidRPr="009F66D3">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1D5E10" w14:paraId="39A24FA4" w14:textId="77777777" w:rsidTr="00D90216">
        <w:trPr>
          <w:trHeight w:val="510"/>
        </w:trPr>
        <w:tc>
          <w:tcPr>
            <w:tcW w:w="4388" w:type="dxa"/>
          </w:tcPr>
          <w:p w14:paraId="53C6EC36" w14:textId="77777777" w:rsidR="00C448D7" w:rsidRPr="009F66D3"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9F66D3" w:rsidRDefault="00C448D7" w:rsidP="00D90216">
            <w:pPr>
              <w:rPr>
                <w:rFonts w:ascii="Open Sans" w:hAnsi="Open Sans" w:cs="Open Sans"/>
                <w:b/>
                <w:bCs/>
                <w:sz w:val="20"/>
                <w:szCs w:val="20"/>
                <w:lang w:val="en-US"/>
              </w:rPr>
            </w:pPr>
            <w:r w:rsidRPr="009F66D3">
              <w:rPr>
                <w:rFonts w:ascii="Open Sans" w:hAnsi="Open Sans" w:cs="Open Sans"/>
                <w:b/>
                <w:bCs/>
                <w:sz w:val="20"/>
                <w:szCs w:val="20"/>
                <w:lang w:val="en-US"/>
              </w:rPr>
              <w:t>References</w:t>
            </w:r>
          </w:p>
        </w:tc>
        <w:tc>
          <w:tcPr>
            <w:tcW w:w="8282" w:type="dxa"/>
            <w:vAlign w:val="center"/>
          </w:tcPr>
          <w:p w14:paraId="43980270" w14:textId="56675D1C" w:rsidR="00C448D7" w:rsidRPr="009F66D3" w:rsidRDefault="00C448D7" w:rsidP="00D90216">
            <w:pPr>
              <w:rPr>
                <w:rFonts w:ascii="Open Sans" w:hAnsi="Open Sans" w:cs="Open Sans"/>
                <w:b/>
                <w:bCs/>
                <w:sz w:val="20"/>
                <w:szCs w:val="20"/>
                <w:lang w:val="en-US"/>
              </w:rPr>
            </w:pPr>
            <w:r w:rsidRPr="009F66D3">
              <w:rPr>
                <w:rFonts w:ascii="Open Sans" w:hAnsi="Open Sans" w:cs="Open Sans"/>
                <w:b/>
                <w:bCs/>
                <w:sz w:val="20"/>
                <w:szCs w:val="20"/>
                <w:lang w:val="en-US"/>
              </w:rPr>
              <w:t>Response</w:t>
            </w:r>
          </w:p>
        </w:tc>
      </w:tr>
      <w:tr w:rsidR="00A7789F" w:rsidRPr="001D5E10" w14:paraId="4B034D62" w14:textId="75C9EF64" w:rsidTr="00710CE2">
        <w:tc>
          <w:tcPr>
            <w:tcW w:w="4388" w:type="dxa"/>
            <w:tcBorders>
              <w:bottom w:val="single" w:sz="4" w:space="0" w:color="auto"/>
            </w:tcBorders>
          </w:tcPr>
          <w:p w14:paraId="08C364EB" w14:textId="4AB66E35" w:rsidR="00A7789F" w:rsidRPr="009F66D3" w:rsidRDefault="009D1DE9" w:rsidP="00623B8E">
            <w:pPr>
              <w:numPr>
                <w:ilvl w:val="0"/>
                <w:numId w:val="9"/>
              </w:numPr>
              <w:ind w:left="318"/>
              <w:contextualSpacing/>
              <w:jc w:val="both"/>
              <w:rPr>
                <w:rFonts w:ascii="Open Sans" w:hAnsi="Open Sans" w:cs="Open Sans"/>
                <w:sz w:val="20"/>
                <w:szCs w:val="20"/>
                <w:lang w:val="en-US"/>
              </w:rPr>
            </w:pPr>
            <w:r w:rsidRPr="009F66D3">
              <w:rPr>
                <w:rFonts w:ascii="Open Sans" w:hAnsi="Open Sans" w:cs="Open Sans"/>
                <w:sz w:val="20"/>
                <w:szCs w:val="20"/>
              </w:rPr>
              <w:t>Do you agree that there are no significant alignment changes required to Section 11, other than those that have already been made? If not, set out the alignment changes you believe are required.</w:t>
            </w:r>
          </w:p>
        </w:tc>
        <w:tc>
          <w:tcPr>
            <w:tcW w:w="1642" w:type="dxa"/>
            <w:tcBorders>
              <w:bottom w:val="single" w:sz="4" w:space="0" w:color="auto"/>
            </w:tcBorders>
          </w:tcPr>
          <w:p w14:paraId="0112926D" w14:textId="7DFA4375" w:rsidR="00A7789F" w:rsidRPr="009F66D3" w:rsidRDefault="009D1DE9" w:rsidP="00A959C4">
            <w:pPr>
              <w:jc w:val="both"/>
              <w:rPr>
                <w:rFonts w:ascii="Open Sans" w:hAnsi="Open Sans" w:cs="Open Sans"/>
                <w:sz w:val="20"/>
                <w:szCs w:val="20"/>
                <w:lang w:val="en-US"/>
              </w:rPr>
            </w:pPr>
            <w:r w:rsidRPr="009F66D3">
              <w:rPr>
                <w:rFonts w:ascii="Open Sans" w:hAnsi="Open Sans" w:cs="Open Sans"/>
                <w:sz w:val="20"/>
                <w:szCs w:val="20"/>
                <w:lang w:val="en-US"/>
              </w:rPr>
              <w:t>Section 11</w:t>
            </w:r>
          </w:p>
        </w:tc>
        <w:tc>
          <w:tcPr>
            <w:tcW w:w="8282" w:type="dxa"/>
            <w:tcBorders>
              <w:bottom w:val="single" w:sz="4" w:space="0" w:color="auto"/>
            </w:tcBorders>
          </w:tcPr>
          <w:p w14:paraId="4A88E1CF" w14:textId="77777777" w:rsidR="009F66D3" w:rsidRPr="009F66D3" w:rsidRDefault="009F66D3" w:rsidP="009F66D3">
            <w:pPr>
              <w:jc w:val="both"/>
              <w:rPr>
                <w:rFonts w:ascii="Open Sans" w:hAnsi="Open Sans" w:cs="Open Sans"/>
                <w:b/>
                <w:bCs/>
                <w:sz w:val="20"/>
                <w:szCs w:val="20"/>
                <w:lang w:val="en-US"/>
              </w:rPr>
            </w:pPr>
            <w:r w:rsidRPr="009F66D3">
              <w:rPr>
                <w:rFonts w:ascii="Open Sans" w:hAnsi="Open Sans" w:cs="Open Sans"/>
                <w:b/>
                <w:bCs/>
                <w:sz w:val="20"/>
                <w:szCs w:val="20"/>
                <w:lang w:val="en-US"/>
              </w:rPr>
              <w:t xml:space="preserve">It has been acknowledged in the proposal that some EGA or OFA revenue can be received over multiple years. In such scenarios, the time value of money should be considered in accordance with section 11, requiring the present value of the grant revenue to be calculated using a market rate of interest on a similar instrument. Many NPOs fund themselves through grant and donation income and do not take on external debt, and so determining a market rate of interest for them can be difficult. We suggest that a simplified method where a NPO does not have external borrowings be included, allowing such present values or other balances requiring discounting to be discounted at their investing rate instead. </w:t>
            </w:r>
          </w:p>
          <w:p w14:paraId="14D94439" w14:textId="77777777" w:rsidR="009F66D3" w:rsidRPr="009F66D3" w:rsidRDefault="009F66D3" w:rsidP="009F66D3">
            <w:pPr>
              <w:jc w:val="both"/>
              <w:rPr>
                <w:rFonts w:ascii="Open Sans" w:hAnsi="Open Sans" w:cs="Open Sans"/>
                <w:b/>
                <w:bCs/>
                <w:sz w:val="20"/>
                <w:szCs w:val="20"/>
                <w:lang w:val="en-US"/>
              </w:rPr>
            </w:pPr>
          </w:p>
          <w:p w14:paraId="5EF1D752" w14:textId="26B28F7F" w:rsidR="001527D4" w:rsidRPr="009F66D3" w:rsidRDefault="009F66D3" w:rsidP="009F66D3">
            <w:pPr>
              <w:jc w:val="both"/>
              <w:rPr>
                <w:rFonts w:ascii="Open Sans" w:hAnsi="Open Sans" w:cs="Open Sans"/>
                <w:b/>
                <w:bCs/>
                <w:sz w:val="20"/>
                <w:szCs w:val="20"/>
                <w:lang w:val="en-US"/>
              </w:rPr>
            </w:pPr>
            <w:r w:rsidRPr="009F66D3">
              <w:rPr>
                <w:rFonts w:ascii="Open Sans" w:hAnsi="Open Sans" w:cs="Open Sans"/>
                <w:b/>
                <w:bCs/>
                <w:sz w:val="20"/>
                <w:szCs w:val="20"/>
                <w:lang w:val="en-US"/>
              </w:rPr>
              <w:t xml:space="preserve">Also, no simplifications to the </w:t>
            </w:r>
            <w:r w:rsidR="00180B89">
              <w:rPr>
                <w:rFonts w:ascii="Open Sans" w:hAnsi="Open Sans" w:cs="Open Sans"/>
                <w:b/>
                <w:bCs/>
                <w:sz w:val="20"/>
                <w:szCs w:val="20"/>
                <w:lang w:val="en-US"/>
              </w:rPr>
              <w:t>expected credit loss</w:t>
            </w:r>
            <w:r w:rsidRPr="009F66D3">
              <w:rPr>
                <w:rFonts w:ascii="Open Sans" w:hAnsi="Open Sans" w:cs="Open Sans"/>
                <w:b/>
                <w:bCs/>
                <w:sz w:val="20"/>
                <w:szCs w:val="20"/>
                <w:lang w:val="en-US"/>
              </w:rPr>
              <w:t xml:space="preserve"> calculations have been proposed. Accrued EGA and OFA revenue meet the definition of a financial instrument and so would therefore be subject to </w:t>
            </w:r>
            <w:r w:rsidR="00180B89">
              <w:rPr>
                <w:rFonts w:ascii="Open Sans" w:hAnsi="Open Sans" w:cs="Open Sans"/>
                <w:b/>
                <w:bCs/>
                <w:sz w:val="20"/>
                <w:szCs w:val="20"/>
                <w:lang w:val="en-US"/>
              </w:rPr>
              <w:t>expected credit loss</w:t>
            </w:r>
            <w:r w:rsidRPr="009F66D3">
              <w:rPr>
                <w:rFonts w:ascii="Open Sans" w:hAnsi="Open Sans" w:cs="Open Sans"/>
                <w:b/>
                <w:bCs/>
                <w:sz w:val="20"/>
                <w:szCs w:val="20"/>
                <w:lang w:val="en-US"/>
              </w:rPr>
              <w:t xml:space="preserve"> calculations. However, given the nature of the revenue, it is highly unlikely for there to be any </w:t>
            </w:r>
            <w:r w:rsidR="00180B89">
              <w:rPr>
                <w:rFonts w:ascii="Open Sans" w:hAnsi="Open Sans" w:cs="Open Sans"/>
                <w:b/>
                <w:bCs/>
                <w:sz w:val="20"/>
                <w:szCs w:val="20"/>
                <w:lang w:val="en-US"/>
              </w:rPr>
              <w:t>risk</w:t>
            </w:r>
            <w:r w:rsidRPr="009F66D3">
              <w:rPr>
                <w:rFonts w:ascii="Open Sans" w:hAnsi="Open Sans" w:cs="Open Sans"/>
                <w:b/>
                <w:bCs/>
                <w:sz w:val="20"/>
                <w:szCs w:val="20"/>
                <w:lang w:val="en-US"/>
              </w:rPr>
              <w:t xml:space="preserve"> of default on such balances. Therefore, we recommend simplifications are included in relation to these balances to prevent undue effort by users of INPAG.</w:t>
            </w:r>
          </w:p>
        </w:tc>
      </w:tr>
    </w:tbl>
    <w:p w14:paraId="1ED70011" w14:textId="557E99A7" w:rsidR="00A276B0" w:rsidRPr="001D5E10" w:rsidRDefault="00A276B0">
      <w:pPr>
        <w:rPr>
          <w:rFonts w:ascii="Open Sans" w:hAnsi="Open Sans" w:cs="Open Sans"/>
          <w:sz w:val="20"/>
          <w:szCs w:val="20"/>
          <w:highlight w:val="yellow"/>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w:t>
            </w:r>
            <w:proofErr w:type="gramStart"/>
            <w:r w:rsidRPr="007271BB">
              <w:rPr>
                <w:rFonts w:ascii="Open Sans" w:hAnsi="Open Sans" w:cs="Open Sans"/>
                <w:color w:val="000000" w:themeColor="text1"/>
                <w:sz w:val="20"/>
                <w:szCs w:val="20"/>
              </w:rPr>
              <w:t>measurement</w:t>
            </w:r>
            <w:proofErr w:type="gramEnd"/>
            <w:r w:rsidRPr="007271BB">
              <w:rPr>
                <w:rFonts w:ascii="Open Sans" w:hAnsi="Open Sans" w:cs="Open Sans"/>
                <w:color w:val="000000" w:themeColor="text1"/>
                <w:sz w:val="20"/>
                <w:szCs w:val="20"/>
              </w:rPr>
              <w:t xml:space="preserve">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1101891B" w:rsidR="0054631C" w:rsidRPr="00EB6705" w:rsidRDefault="00457A9A" w:rsidP="00FE20EA">
            <w:pPr>
              <w:rPr>
                <w:rFonts w:ascii="Open Sans" w:hAnsi="Open Sans" w:cs="Open Sans"/>
                <w:b/>
                <w:bCs/>
                <w:sz w:val="20"/>
                <w:szCs w:val="20"/>
                <w:lang w:val="en-US"/>
              </w:rPr>
            </w:pPr>
            <w:r>
              <w:rPr>
                <w:rFonts w:ascii="Open Sans" w:hAnsi="Open Sans" w:cs="Open Sans"/>
                <w:b/>
                <w:bCs/>
                <w:sz w:val="20"/>
                <w:szCs w:val="20"/>
                <w:lang w:val="en-US"/>
              </w:rPr>
              <w:t xml:space="preserve">We agree that the terms are appropriate. </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7CB15A7E" w14:textId="23592357" w:rsidR="0054631C" w:rsidRDefault="002029D4" w:rsidP="00FE20EA">
            <w:pPr>
              <w:rPr>
                <w:rFonts w:ascii="Open Sans" w:hAnsi="Open Sans" w:cs="Open Sans"/>
                <w:b/>
                <w:bCs/>
                <w:sz w:val="20"/>
                <w:szCs w:val="20"/>
                <w:lang w:val="en-US"/>
              </w:rPr>
            </w:pPr>
            <w:r>
              <w:rPr>
                <w:rFonts w:ascii="Open Sans" w:hAnsi="Open Sans" w:cs="Open Sans"/>
                <w:b/>
                <w:bCs/>
                <w:sz w:val="20"/>
                <w:szCs w:val="20"/>
                <w:lang w:val="en-US"/>
              </w:rPr>
              <w:t>The</w:t>
            </w:r>
            <w:r w:rsidR="00C52308">
              <w:rPr>
                <w:rFonts w:ascii="Open Sans" w:hAnsi="Open Sans" w:cs="Open Sans"/>
                <w:b/>
                <w:bCs/>
                <w:sz w:val="20"/>
                <w:szCs w:val="20"/>
                <w:lang w:val="en-US"/>
              </w:rPr>
              <w:t xml:space="preserve"> preface to the section </w:t>
            </w:r>
            <w:r>
              <w:rPr>
                <w:rFonts w:ascii="Open Sans" w:hAnsi="Open Sans" w:cs="Open Sans"/>
                <w:b/>
                <w:bCs/>
                <w:sz w:val="20"/>
                <w:szCs w:val="20"/>
                <w:lang w:val="en-US"/>
              </w:rPr>
              <w:t xml:space="preserve">(G23.4-G23.7) </w:t>
            </w:r>
            <w:r w:rsidR="00C52308">
              <w:rPr>
                <w:rFonts w:ascii="Open Sans" w:hAnsi="Open Sans" w:cs="Open Sans"/>
                <w:b/>
                <w:bCs/>
                <w:sz w:val="20"/>
                <w:szCs w:val="20"/>
                <w:lang w:val="en-US"/>
              </w:rPr>
              <w:t xml:space="preserve">is helpful </w:t>
            </w:r>
            <w:r>
              <w:rPr>
                <w:rFonts w:ascii="Open Sans" w:hAnsi="Open Sans" w:cs="Open Sans"/>
                <w:b/>
                <w:bCs/>
                <w:sz w:val="20"/>
                <w:szCs w:val="20"/>
                <w:lang w:val="en-US"/>
              </w:rPr>
              <w:t>in</w:t>
            </w:r>
            <w:r w:rsidR="00C52308">
              <w:rPr>
                <w:rFonts w:ascii="Open Sans" w:hAnsi="Open Sans" w:cs="Open Sans"/>
                <w:b/>
                <w:bCs/>
                <w:sz w:val="20"/>
                <w:szCs w:val="20"/>
                <w:lang w:val="en-US"/>
              </w:rPr>
              <w:t xml:space="preserve"> assist</w:t>
            </w:r>
            <w:r>
              <w:rPr>
                <w:rFonts w:ascii="Open Sans" w:hAnsi="Open Sans" w:cs="Open Sans"/>
                <w:b/>
                <w:bCs/>
                <w:sz w:val="20"/>
                <w:szCs w:val="20"/>
                <w:lang w:val="en-US"/>
              </w:rPr>
              <w:t>ing</w:t>
            </w:r>
            <w:r w:rsidR="00C52308">
              <w:rPr>
                <w:rFonts w:ascii="Open Sans" w:hAnsi="Open Sans" w:cs="Open Sans"/>
                <w:b/>
                <w:bCs/>
                <w:sz w:val="20"/>
                <w:szCs w:val="20"/>
                <w:lang w:val="en-US"/>
              </w:rPr>
              <w:t xml:space="preserve"> users in identifying which part of the section they should be applying to a specific transaction. </w:t>
            </w:r>
          </w:p>
          <w:p w14:paraId="19A8C9D2" w14:textId="4F16579B" w:rsidR="00C52308" w:rsidRPr="00EB6705" w:rsidRDefault="00C52308" w:rsidP="00FE20EA">
            <w:pPr>
              <w:rPr>
                <w:rFonts w:ascii="Open Sans" w:hAnsi="Open Sans" w:cs="Open Sans"/>
                <w:b/>
                <w:bCs/>
                <w:sz w:val="20"/>
                <w:szCs w:val="20"/>
                <w:lang w:val="en-US"/>
              </w:rPr>
            </w:pPr>
            <w:r>
              <w:rPr>
                <w:rFonts w:ascii="Open Sans" w:hAnsi="Open Sans" w:cs="Open Sans"/>
                <w:b/>
                <w:bCs/>
                <w:sz w:val="20"/>
                <w:szCs w:val="20"/>
                <w:lang w:val="en-US"/>
              </w:rPr>
              <w:t>However, to include details of the initial recognition in this preface</w:t>
            </w:r>
            <w:r w:rsidR="002029D4">
              <w:rPr>
                <w:rFonts w:ascii="Open Sans" w:hAnsi="Open Sans" w:cs="Open Sans"/>
                <w:b/>
                <w:bCs/>
                <w:sz w:val="20"/>
                <w:szCs w:val="20"/>
                <w:lang w:val="en-US"/>
              </w:rPr>
              <w:t xml:space="preserve"> (G23.7)</w:t>
            </w:r>
            <w:r>
              <w:rPr>
                <w:rFonts w:ascii="Open Sans" w:hAnsi="Open Sans" w:cs="Open Sans"/>
                <w:b/>
                <w:bCs/>
                <w:sz w:val="20"/>
                <w:szCs w:val="20"/>
                <w:lang w:val="en-US"/>
              </w:rPr>
              <w:t xml:space="preserve"> seems to be oversimplifying the accounting and therefore could </w:t>
            </w:r>
            <w:r w:rsidR="002029D4">
              <w:rPr>
                <w:rFonts w:ascii="Open Sans" w:hAnsi="Open Sans" w:cs="Open Sans"/>
                <w:b/>
                <w:bCs/>
                <w:sz w:val="20"/>
                <w:szCs w:val="20"/>
                <w:lang w:val="en-US"/>
              </w:rPr>
              <w:t>cause confusion</w:t>
            </w:r>
            <w:r>
              <w:rPr>
                <w:rFonts w:ascii="Open Sans" w:hAnsi="Open Sans" w:cs="Open Sans"/>
                <w:b/>
                <w:bCs/>
                <w:sz w:val="20"/>
                <w:szCs w:val="20"/>
                <w:lang w:val="en-US"/>
              </w:rPr>
              <w:t xml:space="preserve">. </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62E742FE" w:rsidR="00FE20EA" w:rsidRPr="00EB6705" w:rsidRDefault="00C46B24" w:rsidP="00FE20EA">
            <w:pPr>
              <w:rPr>
                <w:rFonts w:ascii="Open Sans" w:hAnsi="Open Sans" w:cs="Open Sans"/>
                <w:b/>
                <w:bCs/>
                <w:sz w:val="20"/>
                <w:szCs w:val="20"/>
                <w:lang w:val="en-US"/>
              </w:rPr>
            </w:pPr>
            <w:r w:rsidRPr="0071084D">
              <w:rPr>
                <w:rFonts w:ascii="Open Sans" w:hAnsi="Open Sans" w:cs="Open Sans"/>
                <w:b/>
                <w:bCs/>
                <w:sz w:val="20"/>
                <w:szCs w:val="20"/>
                <w:lang w:val="en-US"/>
              </w:rPr>
              <w:t>W</w:t>
            </w:r>
            <w:r w:rsidR="002029D4" w:rsidRPr="0071084D">
              <w:rPr>
                <w:rFonts w:ascii="Open Sans" w:hAnsi="Open Sans" w:cs="Open Sans"/>
                <w:b/>
                <w:bCs/>
                <w:sz w:val="20"/>
                <w:szCs w:val="20"/>
                <w:lang w:val="en-US"/>
              </w:rPr>
              <w:t>e agree that</w:t>
            </w:r>
            <w:r w:rsidRPr="0071084D">
              <w:rPr>
                <w:rFonts w:ascii="Open Sans" w:hAnsi="Open Sans" w:cs="Open Sans"/>
                <w:b/>
                <w:bCs/>
                <w:sz w:val="20"/>
                <w:szCs w:val="20"/>
                <w:lang w:val="en-US"/>
              </w:rPr>
              <w:t xml:space="preserve"> </w:t>
            </w:r>
            <w:r w:rsidR="002029D4" w:rsidRPr="0071084D">
              <w:rPr>
                <w:rFonts w:ascii="Open Sans" w:hAnsi="Open Sans" w:cs="Open Sans"/>
                <w:b/>
                <w:bCs/>
                <w:sz w:val="20"/>
                <w:szCs w:val="20"/>
                <w:lang w:val="en-US"/>
              </w:rPr>
              <w:t xml:space="preserve">it </w:t>
            </w:r>
            <w:r w:rsidRPr="0071084D">
              <w:rPr>
                <w:rFonts w:ascii="Open Sans" w:hAnsi="Open Sans" w:cs="Open Sans"/>
                <w:b/>
                <w:bCs/>
                <w:sz w:val="20"/>
                <w:szCs w:val="20"/>
                <w:lang w:val="en-US"/>
              </w:rPr>
              <w:t xml:space="preserve">is appropriate for </w:t>
            </w:r>
            <w:r w:rsidR="00CE4073" w:rsidRPr="0071084D">
              <w:rPr>
                <w:rFonts w:ascii="Open Sans" w:hAnsi="Open Sans" w:cs="Open Sans"/>
                <w:b/>
                <w:bCs/>
                <w:sz w:val="20"/>
                <w:szCs w:val="20"/>
                <w:lang w:val="en-US"/>
              </w:rPr>
              <w:t xml:space="preserve">revenue to be deferred where the grant recipient has a present obligation in relation to revenue received.  The draft standard makes this clear in the case of </w:t>
            </w:r>
            <w:r w:rsidRPr="0071084D">
              <w:rPr>
                <w:rFonts w:ascii="Open Sans" w:hAnsi="Open Sans" w:cs="Open Sans"/>
                <w:b/>
                <w:bCs/>
                <w:sz w:val="20"/>
                <w:szCs w:val="20"/>
                <w:lang w:val="en-US"/>
              </w:rPr>
              <w:t>EGAs</w:t>
            </w:r>
            <w:r w:rsidR="00CE4073" w:rsidRPr="0071084D">
              <w:rPr>
                <w:rFonts w:ascii="Open Sans" w:hAnsi="Open Sans" w:cs="Open Sans"/>
                <w:b/>
                <w:bCs/>
                <w:sz w:val="20"/>
                <w:szCs w:val="20"/>
                <w:lang w:val="en-US"/>
              </w:rPr>
              <w:t xml:space="preserve">.  We question whether a similar principle should be included for OFAs </w:t>
            </w:r>
            <w:proofErr w:type="gramStart"/>
            <w:r w:rsidR="00CE4073" w:rsidRPr="0071084D">
              <w:rPr>
                <w:rFonts w:ascii="Open Sans" w:hAnsi="Open Sans" w:cs="Open Sans"/>
                <w:b/>
                <w:bCs/>
                <w:sz w:val="20"/>
                <w:szCs w:val="20"/>
                <w:lang w:val="en-US"/>
              </w:rPr>
              <w:t>e.g.</w:t>
            </w:r>
            <w:proofErr w:type="gramEnd"/>
            <w:r w:rsidRPr="0071084D">
              <w:rPr>
                <w:rFonts w:ascii="Open Sans" w:hAnsi="Open Sans" w:cs="Open Sans"/>
                <w:b/>
                <w:bCs/>
                <w:sz w:val="20"/>
                <w:szCs w:val="20"/>
                <w:lang w:val="en-US"/>
              </w:rPr>
              <w:t xml:space="preserve"> </w:t>
            </w:r>
            <w:r w:rsidR="00CE4073" w:rsidRPr="0071084D">
              <w:rPr>
                <w:rFonts w:ascii="Open Sans" w:hAnsi="Open Sans" w:cs="Open Sans"/>
                <w:b/>
                <w:bCs/>
                <w:sz w:val="20"/>
                <w:szCs w:val="20"/>
                <w:lang w:val="en-US"/>
              </w:rPr>
              <w:t>to address scenarios where</w:t>
            </w:r>
            <w:r w:rsidRPr="0071084D">
              <w:rPr>
                <w:rFonts w:ascii="Open Sans" w:hAnsi="Open Sans" w:cs="Open Sans"/>
                <w:b/>
                <w:bCs/>
                <w:sz w:val="20"/>
                <w:szCs w:val="20"/>
                <w:lang w:val="en-US"/>
              </w:rPr>
              <w:t xml:space="preserve"> a constraint imposed by the donor of an OFA </w:t>
            </w:r>
            <w:r w:rsidR="0071084D" w:rsidRPr="0071084D">
              <w:rPr>
                <w:rFonts w:ascii="Open Sans" w:hAnsi="Open Sans" w:cs="Open Sans"/>
                <w:b/>
                <w:bCs/>
                <w:sz w:val="20"/>
                <w:szCs w:val="20"/>
                <w:lang w:val="en-US"/>
              </w:rPr>
              <w:t>which is</w:t>
            </w:r>
            <w:r w:rsidR="00D74D76" w:rsidRPr="0071084D">
              <w:rPr>
                <w:rFonts w:ascii="Open Sans" w:hAnsi="Open Sans" w:cs="Open Sans"/>
                <w:b/>
                <w:bCs/>
                <w:sz w:val="20"/>
                <w:szCs w:val="20"/>
                <w:lang w:val="en-US"/>
              </w:rPr>
              <w:t xml:space="preserve"> not (initially) capable of being overcome </w:t>
            </w:r>
            <w:r w:rsidRPr="0071084D">
              <w:rPr>
                <w:rFonts w:ascii="Open Sans" w:hAnsi="Open Sans" w:cs="Open Sans"/>
                <w:b/>
                <w:bCs/>
                <w:sz w:val="20"/>
                <w:szCs w:val="20"/>
                <w:lang w:val="en-US"/>
              </w:rPr>
              <w:t xml:space="preserve">such as the spend being restricted </w:t>
            </w:r>
            <w:r w:rsidR="00D74D76" w:rsidRPr="0071084D">
              <w:rPr>
                <w:rFonts w:ascii="Open Sans" w:hAnsi="Open Sans" w:cs="Open Sans"/>
                <w:b/>
                <w:bCs/>
                <w:sz w:val="20"/>
                <w:szCs w:val="20"/>
                <w:lang w:val="en-US"/>
              </w:rPr>
              <w:t xml:space="preserve">to </w:t>
            </w:r>
            <w:r w:rsidRPr="0071084D">
              <w:rPr>
                <w:rFonts w:ascii="Open Sans" w:hAnsi="Open Sans" w:cs="Open Sans"/>
                <w:b/>
                <w:bCs/>
                <w:sz w:val="20"/>
                <w:szCs w:val="20"/>
                <w:lang w:val="en-US"/>
              </w:rPr>
              <w:t>a particular jurisdiction</w:t>
            </w:r>
            <w:r w:rsidR="0071084D" w:rsidRPr="0071084D">
              <w:rPr>
                <w:rFonts w:ascii="Open Sans" w:hAnsi="Open Sans" w:cs="Open Sans"/>
                <w:b/>
                <w:bCs/>
                <w:sz w:val="20"/>
                <w:szCs w:val="20"/>
                <w:lang w:val="en-US"/>
              </w:rPr>
              <w:t xml:space="preserve"> that they do not </w:t>
            </w:r>
            <w:r w:rsidR="00180B89">
              <w:rPr>
                <w:rFonts w:ascii="Open Sans" w:hAnsi="Open Sans" w:cs="Open Sans"/>
                <w:b/>
                <w:bCs/>
                <w:sz w:val="20"/>
                <w:szCs w:val="20"/>
                <w:lang w:val="en-US"/>
              </w:rPr>
              <w:t xml:space="preserve">currently, or intend to, </w:t>
            </w:r>
            <w:r w:rsidR="0071084D" w:rsidRPr="0071084D">
              <w:rPr>
                <w:rFonts w:ascii="Open Sans" w:hAnsi="Open Sans" w:cs="Open Sans"/>
                <w:b/>
                <w:bCs/>
                <w:sz w:val="20"/>
                <w:szCs w:val="20"/>
                <w:lang w:val="en-US"/>
              </w:rPr>
              <w:t>operate in</w:t>
            </w:r>
            <w:r w:rsidRPr="0071084D">
              <w:rPr>
                <w:rFonts w:ascii="Open Sans" w:hAnsi="Open Sans" w:cs="Open Sans"/>
                <w:b/>
                <w:bCs/>
                <w:sz w:val="20"/>
                <w:szCs w:val="20"/>
                <w:lang w:val="en-US"/>
              </w:rPr>
              <w:t>.</w:t>
            </w:r>
            <w:r>
              <w:rPr>
                <w:rFonts w:ascii="Open Sans" w:hAnsi="Open Sans" w:cs="Open Sans"/>
                <w:b/>
                <w:bCs/>
                <w:sz w:val="20"/>
                <w:szCs w:val="20"/>
                <w:lang w:val="en-US"/>
              </w:rPr>
              <w:t xml:space="preserve"> </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5C85BC47" w14:textId="77777777" w:rsidR="00EF069E" w:rsidRDefault="00C46B24" w:rsidP="00FE20EA">
            <w:pPr>
              <w:rPr>
                <w:rFonts w:ascii="Open Sans" w:hAnsi="Open Sans" w:cs="Open Sans"/>
                <w:b/>
                <w:bCs/>
                <w:sz w:val="20"/>
                <w:szCs w:val="20"/>
                <w:lang w:val="en-US"/>
              </w:rPr>
            </w:pPr>
            <w:r>
              <w:rPr>
                <w:rFonts w:ascii="Open Sans" w:hAnsi="Open Sans" w:cs="Open Sans"/>
                <w:b/>
                <w:bCs/>
                <w:sz w:val="20"/>
                <w:szCs w:val="20"/>
                <w:lang w:val="en-US"/>
              </w:rPr>
              <w:t xml:space="preserve">The SME standard requires the contract price to be allocated on the basis of its stand-alone selling price, </w:t>
            </w:r>
            <w:proofErr w:type="gramStart"/>
            <w:r>
              <w:rPr>
                <w:rFonts w:ascii="Open Sans" w:hAnsi="Open Sans" w:cs="Open Sans"/>
                <w:b/>
                <w:bCs/>
                <w:sz w:val="20"/>
                <w:szCs w:val="20"/>
                <w:lang w:val="en-US"/>
              </w:rPr>
              <w:t>i.e.</w:t>
            </w:r>
            <w:proofErr w:type="gramEnd"/>
            <w:r>
              <w:rPr>
                <w:rFonts w:ascii="Open Sans" w:hAnsi="Open Sans" w:cs="Open Sans"/>
                <w:b/>
                <w:bCs/>
                <w:sz w:val="20"/>
                <w:szCs w:val="20"/>
                <w:lang w:val="en-US"/>
              </w:rPr>
              <w:t xml:space="preserve"> the price for the customer rather than the costs incurred by the entity. </w:t>
            </w:r>
          </w:p>
          <w:p w14:paraId="00D97642" w14:textId="77777777" w:rsidR="00BA1D5A" w:rsidRDefault="00BA1D5A" w:rsidP="00FE20EA">
            <w:pPr>
              <w:rPr>
                <w:rFonts w:ascii="Open Sans" w:hAnsi="Open Sans" w:cs="Open Sans"/>
                <w:b/>
                <w:bCs/>
                <w:sz w:val="20"/>
                <w:szCs w:val="20"/>
                <w:lang w:val="en-US"/>
              </w:rPr>
            </w:pPr>
          </w:p>
          <w:p w14:paraId="3CEB789E" w14:textId="0CFCFB08" w:rsidR="00C46B24" w:rsidRDefault="00C46B24" w:rsidP="00FE20EA">
            <w:pPr>
              <w:rPr>
                <w:rFonts w:ascii="Open Sans" w:hAnsi="Open Sans" w:cs="Open Sans"/>
                <w:b/>
                <w:bCs/>
                <w:sz w:val="20"/>
                <w:szCs w:val="20"/>
                <w:lang w:val="en-US"/>
              </w:rPr>
            </w:pPr>
            <w:r>
              <w:rPr>
                <w:rFonts w:ascii="Open Sans" w:hAnsi="Open Sans" w:cs="Open Sans"/>
                <w:b/>
                <w:bCs/>
                <w:sz w:val="20"/>
                <w:szCs w:val="20"/>
                <w:lang w:val="en-US"/>
              </w:rPr>
              <w:t xml:space="preserve">Whilst NPOs will not generally have selling prices and so the method of allocating based on costs incurred by the NPO may be the most straightforward </w:t>
            </w:r>
            <w:r>
              <w:rPr>
                <w:rFonts w:ascii="Open Sans" w:hAnsi="Open Sans" w:cs="Open Sans"/>
                <w:b/>
                <w:bCs/>
                <w:sz w:val="20"/>
                <w:szCs w:val="20"/>
                <w:lang w:val="en-US"/>
              </w:rPr>
              <w:lastRenderedPageBreak/>
              <w:t xml:space="preserve">and </w:t>
            </w:r>
            <w:proofErr w:type="gramStart"/>
            <w:r>
              <w:rPr>
                <w:rFonts w:ascii="Open Sans" w:hAnsi="Open Sans" w:cs="Open Sans"/>
                <w:b/>
                <w:bCs/>
                <w:sz w:val="20"/>
                <w:szCs w:val="20"/>
                <w:lang w:val="en-US"/>
              </w:rPr>
              <w:t>cost effective</w:t>
            </w:r>
            <w:proofErr w:type="gramEnd"/>
            <w:r>
              <w:rPr>
                <w:rFonts w:ascii="Open Sans" w:hAnsi="Open Sans" w:cs="Open Sans"/>
                <w:b/>
                <w:bCs/>
                <w:sz w:val="20"/>
                <w:szCs w:val="20"/>
                <w:lang w:val="en-US"/>
              </w:rPr>
              <w:t xml:space="preserve"> way of apportioning,</w:t>
            </w:r>
            <w:r w:rsidR="00D74D76">
              <w:rPr>
                <w:rFonts w:ascii="Open Sans" w:hAnsi="Open Sans" w:cs="Open Sans"/>
                <w:b/>
                <w:bCs/>
                <w:sz w:val="20"/>
                <w:szCs w:val="20"/>
                <w:lang w:val="en-US"/>
              </w:rPr>
              <w:t xml:space="preserve"> we question whether there</w:t>
            </w:r>
            <w:r>
              <w:rPr>
                <w:rFonts w:ascii="Open Sans" w:hAnsi="Open Sans" w:cs="Open Sans"/>
                <w:b/>
                <w:bCs/>
                <w:sz w:val="20"/>
                <w:szCs w:val="20"/>
                <w:lang w:val="en-US"/>
              </w:rPr>
              <w:t xml:space="preserve"> could be situations where allocating the grant based on the output method, or the benefit to the beneficiary, is more appropriate</w:t>
            </w:r>
            <w:r w:rsidR="00D74D76">
              <w:rPr>
                <w:rFonts w:ascii="Open Sans" w:hAnsi="Open Sans" w:cs="Open Sans"/>
                <w:b/>
                <w:bCs/>
                <w:sz w:val="20"/>
                <w:szCs w:val="20"/>
                <w:lang w:val="en-US"/>
              </w:rPr>
              <w:t xml:space="preserve"> and therefore whether this option should be available under the standard.</w:t>
            </w:r>
            <w:r w:rsidR="00AF3E68">
              <w:rPr>
                <w:rFonts w:ascii="Open Sans" w:hAnsi="Open Sans" w:cs="Open Sans"/>
                <w:b/>
                <w:bCs/>
                <w:sz w:val="20"/>
                <w:szCs w:val="20"/>
                <w:lang w:val="en-US"/>
              </w:rPr>
              <w:t xml:space="preserve"> </w:t>
            </w:r>
            <w:r w:rsidR="00EF5846">
              <w:rPr>
                <w:rFonts w:ascii="Open Sans" w:hAnsi="Open Sans" w:cs="Open Sans"/>
                <w:b/>
                <w:bCs/>
                <w:sz w:val="20"/>
                <w:szCs w:val="20"/>
                <w:lang w:val="en-US"/>
              </w:rPr>
              <w:t>In this section, we propose that p</w:t>
            </w:r>
            <w:r w:rsidR="00AF3E68">
              <w:rPr>
                <w:rFonts w:ascii="Open Sans" w:hAnsi="Open Sans" w:cs="Open Sans"/>
                <w:b/>
                <w:bCs/>
                <w:sz w:val="20"/>
                <w:szCs w:val="20"/>
                <w:lang w:val="en-US"/>
              </w:rPr>
              <w:t xml:space="preserve">aragraph G23.55 </w:t>
            </w:r>
            <w:r w:rsidR="00EF5846">
              <w:rPr>
                <w:rFonts w:ascii="Open Sans" w:hAnsi="Open Sans" w:cs="Open Sans"/>
                <w:b/>
                <w:bCs/>
                <w:sz w:val="20"/>
                <w:szCs w:val="20"/>
                <w:lang w:val="en-US"/>
              </w:rPr>
              <w:t xml:space="preserve">is not </w:t>
            </w:r>
            <w:proofErr w:type="gramStart"/>
            <w:r w:rsidR="00EF5846">
              <w:rPr>
                <w:rFonts w:ascii="Open Sans" w:hAnsi="Open Sans" w:cs="Open Sans"/>
                <w:b/>
                <w:bCs/>
                <w:sz w:val="20"/>
                <w:szCs w:val="20"/>
                <w:lang w:val="en-US"/>
              </w:rPr>
              <w:t>needed, and</w:t>
            </w:r>
            <w:proofErr w:type="gramEnd"/>
            <w:r w:rsidR="00EF5846">
              <w:rPr>
                <w:rFonts w:ascii="Open Sans" w:hAnsi="Open Sans" w:cs="Open Sans"/>
                <w:b/>
                <w:bCs/>
                <w:sz w:val="20"/>
                <w:szCs w:val="20"/>
                <w:lang w:val="en-US"/>
              </w:rPr>
              <w:t xml:space="preserve"> could just cause confusion on this matter. </w:t>
            </w:r>
          </w:p>
          <w:p w14:paraId="0AF53335" w14:textId="77777777" w:rsidR="00BA1D5A" w:rsidRDefault="00BA1D5A" w:rsidP="00FE20EA">
            <w:pPr>
              <w:rPr>
                <w:rFonts w:ascii="Open Sans" w:hAnsi="Open Sans" w:cs="Open Sans"/>
                <w:b/>
                <w:bCs/>
                <w:sz w:val="20"/>
                <w:szCs w:val="20"/>
                <w:lang w:val="en-US"/>
              </w:rPr>
            </w:pPr>
          </w:p>
          <w:p w14:paraId="6F8EB512" w14:textId="77777777" w:rsidR="00C46B24" w:rsidRDefault="00D74D76" w:rsidP="00FE20EA">
            <w:pPr>
              <w:rPr>
                <w:rFonts w:ascii="Open Sans" w:hAnsi="Open Sans" w:cs="Open Sans"/>
                <w:b/>
                <w:bCs/>
                <w:sz w:val="20"/>
                <w:szCs w:val="20"/>
                <w:lang w:val="en-US"/>
              </w:rPr>
            </w:pPr>
            <w:r>
              <w:rPr>
                <w:rFonts w:ascii="Open Sans" w:hAnsi="Open Sans" w:cs="Open Sans"/>
                <w:b/>
                <w:bCs/>
                <w:sz w:val="20"/>
                <w:szCs w:val="20"/>
                <w:lang w:val="en-US"/>
              </w:rPr>
              <w:t>Under</w:t>
            </w:r>
            <w:r w:rsidR="00C46B24">
              <w:rPr>
                <w:rFonts w:ascii="Open Sans" w:hAnsi="Open Sans" w:cs="Open Sans"/>
                <w:b/>
                <w:bCs/>
                <w:sz w:val="20"/>
                <w:szCs w:val="20"/>
                <w:lang w:val="en-US"/>
              </w:rPr>
              <w:t xml:space="preserve"> the current proposal</w:t>
            </w:r>
            <w:r>
              <w:rPr>
                <w:rFonts w:ascii="Open Sans" w:hAnsi="Open Sans" w:cs="Open Sans"/>
                <w:b/>
                <w:bCs/>
                <w:sz w:val="20"/>
                <w:szCs w:val="20"/>
                <w:lang w:val="en-US"/>
              </w:rPr>
              <w:t>s</w:t>
            </w:r>
            <w:r w:rsidR="00C46B24">
              <w:rPr>
                <w:rFonts w:ascii="Open Sans" w:hAnsi="Open Sans" w:cs="Open Sans"/>
                <w:b/>
                <w:bCs/>
                <w:sz w:val="20"/>
                <w:szCs w:val="20"/>
                <w:lang w:val="en-US"/>
              </w:rPr>
              <w:t xml:space="preserve">, the NPO will allocate the total grant amount based on the costs it will incur </w:t>
            </w:r>
            <w:r>
              <w:rPr>
                <w:rFonts w:ascii="Open Sans" w:hAnsi="Open Sans" w:cs="Open Sans"/>
                <w:b/>
                <w:bCs/>
                <w:sz w:val="20"/>
                <w:szCs w:val="20"/>
                <w:lang w:val="en-US"/>
              </w:rPr>
              <w:t xml:space="preserve">in </w:t>
            </w:r>
            <w:r w:rsidR="00C46B24">
              <w:rPr>
                <w:rFonts w:ascii="Open Sans" w:hAnsi="Open Sans" w:cs="Open Sans"/>
                <w:b/>
                <w:bCs/>
                <w:sz w:val="20"/>
                <w:szCs w:val="20"/>
                <w:lang w:val="en-US"/>
              </w:rPr>
              <w:t xml:space="preserve">meeting the EGOs. In many scenarios, this will be an estimate based on </w:t>
            </w:r>
            <w:proofErr w:type="spellStart"/>
            <w:r w:rsidR="00C46B24">
              <w:rPr>
                <w:rFonts w:ascii="Open Sans" w:hAnsi="Open Sans" w:cs="Open Sans"/>
                <w:b/>
                <w:bCs/>
                <w:sz w:val="20"/>
                <w:szCs w:val="20"/>
                <w:lang w:val="en-US"/>
              </w:rPr>
              <w:t>labour</w:t>
            </w:r>
            <w:proofErr w:type="spellEnd"/>
            <w:r w:rsidR="00C46B24">
              <w:rPr>
                <w:rFonts w:ascii="Open Sans" w:hAnsi="Open Sans" w:cs="Open Sans"/>
                <w:b/>
                <w:bCs/>
                <w:sz w:val="20"/>
                <w:szCs w:val="20"/>
                <w:lang w:val="en-US"/>
              </w:rPr>
              <w:t xml:space="preserve"> and materials costs expected to be incurred.</w:t>
            </w:r>
            <w:r>
              <w:rPr>
                <w:rFonts w:ascii="Open Sans" w:hAnsi="Open Sans" w:cs="Open Sans"/>
                <w:b/>
                <w:bCs/>
                <w:sz w:val="20"/>
                <w:szCs w:val="20"/>
                <w:lang w:val="en-US"/>
              </w:rPr>
              <w:t xml:space="preserve"> </w:t>
            </w:r>
            <w:r w:rsidRPr="001C7353">
              <w:rPr>
                <w:rFonts w:ascii="Open Sans" w:hAnsi="Open Sans" w:cs="Open Sans"/>
                <w:b/>
                <w:bCs/>
                <w:sz w:val="20"/>
                <w:szCs w:val="20"/>
                <w:lang w:val="en-US"/>
              </w:rPr>
              <w:t>Users</w:t>
            </w:r>
            <w:r w:rsidR="0071084D">
              <w:rPr>
                <w:rFonts w:ascii="Open Sans" w:hAnsi="Open Sans" w:cs="Open Sans"/>
                <w:b/>
                <w:bCs/>
                <w:sz w:val="20"/>
                <w:szCs w:val="20"/>
                <w:lang w:val="en-US"/>
              </w:rPr>
              <w:t xml:space="preserve"> of INPAG</w:t>
            </w:r>
            <w:r w:rsidR="00C46B24" w:rsidRPr="001C7353">
              <w:rPr>
                <w:rFonts w:ascii="Open Sans" w:hAnsi="Open Sans" w:cs="Open Sans"/>
                <w:b/>
                <w:bCs/>
                <w:sz w:val="20"/>
                <w:szCs w:val="20"/>
                <w:lang w:val="en-US"/>
              </w:rPr>
              <w:t xml:space="preserve"> </w:t>
            </w:r>
            <w:r w:rsidR="001C7353" w:rsidRPr="0071084D">
              <w:rPr>
                <w:rFonts w:ascii="Open Sans" w:hAnsi="Open Sans" w:cs="Open Sans"/>
                <w:b/>
                <w:bCs/>
                <w:sz w:val="20"/>
                <w:szCs w:val="20"/>
                <w:lang w:val="en-US"/>
              </w:rPr>
              <w:t>may benefit from</w:t>
            </w:r>
            <w:r w:rsidR="001C7353" w:rsidRPr="001C7353">
              <w:rPr>
                <w:rFonts w:ascii="Open Sans" w:hAnsi="Open Sans" w:cs="Open Sans"/>
                <w:b/>
                <w:bCs/>
                <w:sz w:val="20"/>
                <w:szCs w:val="20"/>
                <w:lang w:val="en-US"/>
              </w:rPr>
              <w:t xml:space="preserve"> </w:t>
            </w:r>
            <w:r w:rsidR="00C46B24" w:rsidRPr="001C7353">
              <w:rPr>
                <w:rFonts w:ascii="Open Sans" w:hAnsi="Open Sans" w:cs="Open Sans"/>
                <w:b/>
                <w:bCs/>
                <w:sz w:val="20"/>
                <w:szCs w:val="20"/>
                <w:lang w:val="en-US"/>
              </w:rPr>
              <w:t xml:space="preserve">guidance </w:t>
            </w:r>
            <w:r w:rsidR="001C7353" w:rsidRPr="0071084D">
              <w:rPr>
                <w:rFonts w:ascii="Open Sans" w:hAnsi="Open Sans" w:cs="Open Sans"/>
                <w:b/>
                <w:bCs/>
                <w:sz w:val="20"/>
                <w:szCs w:val="20"/>
                <w:lang w:val="en-US"/>
              </w:rPr>
              <w:t xml:space="preserve">addressing what they should do if estimated costs change over the </w:t>
            </w:r>
            <w:r w:rsidR="001C7353">
              <w:rPr>
                <w:rFonts w:ascii="Open Sans" w:hAnsi="Open Sans" w:cs="Open Sans"/>
                <w:b/>
                <w:bCs/>
                <w:sz w:val="20"/>
                <w:szCs w:val="20"/>
                <w:lang w:val="en-US"/>
              </w:rPr>
              <w:t xml:space="preserve">period of the </w:t>
            </w:r>
            <w:r w:rsidR="001C7353" w:rsidRPr="0071084D">
              <w:rPr>
                <w:rFonts w:ascii="Open Sans" w:hAnsi="Open Sans" w:cs="Open Sans"/>
                <w:b/>
                <w:bCs/>
                <w:sz w:val="20"/>
                <w:szCs w:val="20"/>
                <w:lang w:val="en-US"/>
              </w:rPr>
              <w:t>EGO</w:t>
            </w:r>
            <w:r w:rsidR="0071084D">
              <w:rPr>
                <w:rFonts w:ascii="Open Sans" w:hAnsi="Open Sans" w:cs="Open Sans"/>
                <w:b/>
                <w:bCs/>
                <w:sz w:val="20"/>
                <w:szCs w:val="20"/>
                <w:lang w:val="en-US"/>
              </w:rPr>
              <w:t>,</w:t>
            </w:r>
            <w:r w:rsidR="001C7353" w:rsidRPr="0071084D">
              <w:rPr>
                <w:rFonts w:ascii="Open Sans" w:hAnsi="Open Sans" w:cs="Open Sans"/>
                <w:b/>
                <w:bCs/>
                <w:sz w:val="20"/>
                <w:szCs w:val="20"/>
                <w:lang w:val="en-US"/>
              </w:rPr>
              <w:t xml:space="preserve"> particularly where </w:t>
            </w:r>
            <w:r w:rsidR="001C7353">
              <w:rPr>
                <w:rFonts w:ascii="Open Sans" w:hAnsi="Open Sans" w:cs="Open Sans"/>
                <w:b/>
                <w:bCs/>
                <w:sz w:val="20"/>
                <w:szCs w:val="20"/>
                <w:lang w:val="en-US"/>
              </w:rPr>
              <w:t>it</w:t>
            </w:r>
            <w:r w:rsidR="001C7353" w:rsidRPr="0071084D">
              <w:rPr>
                <w:rFonts w:ascii="Open Sans" w:hAnsi="Open Sans" w:cs="Open Sans"/>
                <w:b/>
                <w:bCs/>
                <w:sz w:val="20"/>
                <w:szCs w:val="20"/>
                <w:lang w:val="en-US"/>
              </w:rPr>
              <w:t xml:space="preserve"> span</w:t>
            </w:r>
            <w:r w:rsidR="001C7353">
              <w:rPr>
                <w:rFonts w:ascii="Open Sans" w:hAnsi="Open Sans" w:cs="Open Sans"/>
                <w:b/>
                <w:bCs/>
                <w:sz w:val="20"/>
                <w:szCs w:val="20"/>
                <w:lang w:val="en-US"/>
              </w:rPr>
              <w:t>s</w:t>
            </w:r>
            <w:r w:rsidR="001C7353" w:rsidRPr="0071084D">
              <w:rPr>
                <w:rFonts w:ascii="Open Sans" w:hAnsi="Open Sans" w:cs="Open Sans"/>
                <w:b/>
                <w:bCs/>
                <w:sz w:val="20"/>
                <w:szCs w:val="20"/>
                <w:lang w:val="en-US"/>
              </w:rPr>
              <w:t xml:space="preserve"> multiple years. </w:t>
            </w:r>
          </w:p>
          <w:p w14:paraId="3D644833" w14:textId="77777777" w:rsidR="00883F77" w:rsidRDefault="00883F77" w:rsidP="00FE20EA">
            <w:pPr>
              <w:rPr>
                <w:rFonts w:ascii="Open Sans" w:hAnsi="Open Sans" w:cs="Open Sans"/>
                <w:b/>
                <w:bCs/>
                <w:sz w:val="20"/>
                <w:szCs w:val="20"/>
                <w:lang w:val="en-US"/>
              </w:rPr>
            </w:pPr>
          </w:p>
          <w:p w14:paraId="0C700B35" w14:textId="703CBC50" w:rsidR="00883F77" w:rsidRPr="00EB6705" w:rsidRDefault="00883F77" w:rsidP="00FE20EA">
            <w:pPr>
              <w:rPr>
                <w:rFonts w:ascii="Open Sans" w:hAnsi="Open Sans" w:cs="Open Sans"/>
                <w:b/>
                <w:bCs/>
                <w:sz w:val="20"/>
                <w:szCs w:val="20"/>
                <w:lang w:val="en-US"/>
              </w:rPr>
            </w:pPr>
            <w:r>
              <w:rPr>
                <w:rFonts w:ascii="Open Sans" w:hAnsi="Open Sans" w:cs="Open Sans"/>
                <w:b/>
                <w:bCs/>
                <w:sz w:val="20"/>
                <w:szCs w:val="20"/>
                <w:lang w:val="en-US"/>
              </w:rPr>
              <w:t xml:space="preserve">Also, we note that the current proposal is silent on whether the estimated costs to satisfy the EGO to calculate the </w:t>
            </w:r>
            <w:proofErr w:type="gramStart"/>
            <w:r>
              <w:rPr>
                <w:rFonts w:ascii="Open Sans" w:hAnsi="Open Sans" w:cs="Open Sans"/>
                <w:b/>
                <w:bCs/>
                <w:sz w:val="20"/>
                <w:szCs w:val="20"/>
                <w:lang w:val="en-US"/>
              </w:rPr>
              <w:t>stand alone</w:t>
            </w:r>
            <w:proofErr w:type="gramEnd"/>
            <w:r>
              <w:rPr>
                <w:rFonts w:ascii="Open Sans" w:hAnsi="Open Sans" w:cs="Open Sans"/>
                <w:b/>
                <w:bCs/>
                <w:sz w:val="20"/>
                <w:szCs w:val="20"/>
                <w:lang w:val="en-US"/>
              </w:rPr>
              <w:t xml:space="preserve"> value should include direct costs only, or should also incorporate support costs allocated to the activity. We recommend guidance is provided. </w:t>
            </w:r>
          </w:p>
        </w:tc>
      </w:tr>
      <w:tr w:rsidR="00B62A32" w:rsidRPr="00EB6705" w14:paraId="65B0ED0D" w14:textId="77777777" w:rsidTr="009C6642">
        <w:trPr>
          <w:trHeight w:val="830"/>
        </w:trPr>
        <w:tc>
          <w:tcPr>
            <w:tcW w:w="4388" w:type="dxa"/>
          </w:tcPr>
          <w:p w14:paraId="2D9F3B1C" w14:textId="5BAB8809" w:rsidR="00B62A32" w:rsidRPr="009D21FA" w:rsidRDefault="00B62A32" w:rsidP="00B62A32">
            <w:pPr>
              <w:numPr>
                <w:ilvl w:val="0"/>
                <w:numId w:val="3"/>
              </w:numPr>
              <w:ind w:left="318"/>
              <w:contextualSpacing/>
              <w:jc w:val="both"/>
              <w:rPr>
                <w:rFonts w:ascii="Open Sans" w:hAnsi="Open Sans" w:cs="Open Sans"/>
                <w:sz w:val="20"/>
                <w:szCs w:val="20"/>
                <w:lang w:val="en-US"/>
              </w:rPr>
            </w:pPr>
            <w:r w:rsidRPr="009D21FA">
              <w:rPr>
                <w:rFonts w:ascii="Open Sans" w:hAnsi="Open Sans" w:cs="Open Sans"/>
                <w:sz w:val="20"/>
                <w:szCs w:val="20"/>
              </w:rPr>
              <w:lastRenderedPageBreak/>
              <w:t xml:space="preserve">Do you agree with the permitted exceptions that allow the recognition of some gifts in-kind, either when sold, </w:t>
            </w:r>
            <w:proofErr w:type="gramStart"/>
            <w:r w:rsidRPr="009D21FA">
              <w:rPr>
                <w:rFonts w:ascii="Open Sans" w:hAnsi="Open Sans" w:cs="Open Sans"/>
                <w:sz w:val="20"/>
                <w:szCs w:val="20"/>
              </w:rPr>
              <w:t>used</w:t>
            </w:r>
            <w:proofErr w:type="gramEnd"/>
            <w:r w:rsidRPr="009D21FA">
              <w:rPr>
                <w:rFonts w:ascii="Open Sans" w:hAnsi="Open Sans" w:cs="Open Sans"/>
                <w:sz w:val="20"/>
                <w:szCs w:val="20"/>
              </w:rPr>
              <w:t xml:space="preserve"> or distributed, and that these permitted exceptions cannot be used where donations are received as part of an enforceable grant arrangement? If not, </w:t>
            </w:r>
            <w:r w:rsidRPr="009D21FA">
              <w:rPr>
                <w:rFonts w:ascii="Open Sans" w:hAnsi="Open Sans" w:cs="Open Sans"/>
                <w:sz w:val="20"/>
                <w:szCs w:val="20"/>
              </w:rPr>
              <w:lastRenderedPageBreak/>
              <w:t>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248EA0F0" w:rsidR="009C6642" w:rsidRPr="00EB6705" w:rsidRDefault="001E4C60" w:rsidP="001E4C60">
            <w:pPr>
              <w:rPr>
                <w:rFonts w:ascii="Open Sans" w:hAnsi="Open Sans" w:cs="Open Sans"/>
                <w:b/>
                <w:bCs/>
                <w:sz w:val="20"/>
                <w:szCs w:val="20"/>
                <w:lang w:val="en-US"/>
              </w:rPr>
            </w:pPr>
            <w:r>
              <w:rPr>
                <w:rFonts w:ascii="Open Sans" w:hAnsi="Open Sans" w:cs="Open Sans"/>
                <w:b/>
                <w:bCs/>
                <w:sz w:val="20"/>
                <w:szCs w:val="20"/>
                <w:lang w:val="en-US"/>
              </w:rPr>
              <w:t>We note that the recognition of g</w:t>
            </w:r>
            <w:r w:rsidR="009D21FA" w:rsidRPr="009D21FA">
              <w:rPr>
                <w:rFonts w:ascii="Open Sans" w:hAnsi="Open Sans" w:cs="Open Sans"/>
                <w:b/>
                <w:bCs/>
                <w:sz w:val="20"/>
                <w:szCs w:val="20"/>
                <w:lang w:val="en-US"/>
              </w:rPr>
              <w:t xml:space="preserve">ifts in kind </w:t>
            </w:r>
            <w:r w:rsidR="00A8654E" w:rsidRPr="009D21FA">
              <w:rPr>
                <w:rFonts w:ascii="Open Sans" w:hAnsi="Open Sans" w:cs="Open Sans"/>
                <w:b/>
                <w:bCs/>
                <w:sz w:val="20"/>
                <w:szCs w:val="20"/>
                <w:lang w:val="en-US"/>
              </w:rPr>
              <w:t xml:space="preserve">to be used </w:t>
            </w:r>
            <w:r>
              <w:rPr>
                <w:rFonts w:ascii="Open Sans" w:hAnsi="Open Sans" w:cs="Open Sans"/>
                <w:b/>
                <w:bCs/>
                <w:sz w:val="20"/>
                <w:szCs w:val="20"/>
                <w:lang w:val="en-US"/>
              </w:rPr>
              <w:t>by</w:t>
            </w:r>
            <w:r w:rsidR="00A8654E" w:rsidRPr="009D21FA">
              <w:rPr>
                <w:rFonts w:ascii="Open Sans" w:hAnsi="Open Sans" w:cs="Open Sans"/>
                <w:b/>
                <w:bCs/>
                <w:sz w:val="20"/>
                <w:szCs w:val="20"/>
                <w:lang w:val="en-US"/>
              </w:rPr>
              <w:t xml:space="preserve"> the NPO </w:t>
            </w:r>
            <w:r w:rsidR="009D21FA" w:rsidRPr="009D21FA">
              <w:rPr>
                <w:rFonts w:ascii="Open Sans" w:hAnsi="Open Sans" w:cs="Open Sans"/>
                <w:b/>
                <w:bCs/>
                <w:sz w:val="20"/>
                <w:szCs w:val="20"/>
                <w:lang w:val="en-US"/>
              </w:rPr>
              <w:t xml:space="preserve">or distributed to beneficiaries </w:t>
            </w:r>
            <w:r w:rsidR="00A8654E" w:rsidRPr="009D21FA">
              <w:rPr>
                <w:rFonts w:ascii="Open Sans" w:hAnsi="Open Sans" w:cs="Open Sans"/>
                <w:b/>
                <w:bCs/>
                <w:sz w:val="20"/>
                <w:szCs w:val="20"/>
                <w:lang w:val="en-US"/>
              </w:rPr>
              <w:t>can be delayed until they</w:t>
            </w:r>
            <w:r>
              <w:rPr>
                <w:rFonts w:ascii="Open Sans" w:hAnsi="Open Sans" w:cs="Open Sans"/>
                <w:b/>
                <w:bCs/>
                <w:sz w:val="20"/>
                <w:szCs w:val="20"/>
                <w:lang w:val="en-US"/>
              </w:rPr>
              <w:t xml:space="preserve"> are</w:t>
            </w:r>
            <w:r w:rsidR="00A8654E" w:rsidRPr="009D21FA">
              <w:rPr>
                <w:rFonts w:ascii="Open Sans" w:hAnsi="Open Sans" w:cs="Open Sans"/>
                <w:b/>
                <w:bCs/>
                <w:sz w:val="20"/>
                <w:szCs w:val="20"/>
                <w:lang w:val="en-US"/>
              </w:rPr>
              <w:t xml:space="preserve"> use</w:t>
            </w:r>
            <w:r>
              <w:rPr>
                <w:rFonts w:ascii="Open Sans" w:hAnsi="Open Sans" w:cs="Open Sans"/>
                <w:b/>
                <w:bCs/>
                <w:sz w:val="20"/>
                <w:szCs w:val="20"/>
                <w:lang w:val="en-US"/>
              </w:rPr>
              <w:t>d/distributed.</w:t>
            </w:r>
            <w:r w:rsidR="00A8654E" w:rsidRPr="009D21FA">
              <w:rPr>
                <w:rFonts w:ascii="Open Sans" w:hAnsi="Open Sans" w:cs="Open Sans"/>
                <w:b/>
                <w:bCs/>
                <w:sz w:val="20"/>
                <w:szCs w:val="20"/>
                <w:lang w:val="en-US"/>
              </w:rPr>
              <w:t xml:space="preserve"> </w:t>
            </w:r>
            <w:r>
              <w:rPr>
                <w:rFonts w:ascii="Open Sans" w:hAnsi="Open Sans" w:cs="Open Sans"/>
                <w:b/>
                <w:bCs/>
                <w:sz w:val="20"/>
                <w:szCs w:val="20"/>
                <w:lang w:val="en-US"/>
              </w:rPr>
              <w:t>However, under the proposals</w:t>
            </w:r>
            <w:r w:rsidR="00E11EDA">
              <w:rPr>
                <w:rFonts w:ascii="Open Sans" w:hAnsi="Open Sans" w:cs="Open Sans"/>
                <w:b/>
                <w:bCs/>
                <w:sz w:val="20"/>
                <w:szCs w:val="20"/>
                <w:lang w:val="en-US"/>
              </w:rPr>
              <w:t>,</w:t>
            </w:r>
            <w:r>
              <w:rPr>
                <w:rFonts w:ascii="Open Sans" w:hAnsi="Open Sans" w:cs="Open Sans"/>
                <w:b/>
                <w:bCs/>
                <w:sz w:val="20"/>
                <w:szCs w:val="20"/>
                <w:lang w:val="en-US"/>
              </w:rPr>
              <w:t xml:space="preserve"> eventual recognition is</w:t>
            </w:r>
            <w:r w:rsidR="009D21FA" w:rsidRPr="009D21FA">
              <w:rPr>
                <w:rFonts w:ascii="Open Sans" w:hAnsi="Open Sans" w:cs="Open Sans"/>
                <w:b/>
                <w:bCs/>
                <w:sz w:val="20"/>
                <w:szCs w:val="20"/>
                <w:lang w:val="en-US"/>
              </w:rPr>
              <w:t xml:space="preserve"> </w:t>
            </w:r>
            <w:r w:rsidR="00A8654E" w:rsidRPr="009D21FA">
              <w:rPr>
                <w:rFonts w:ascii="Open Sans" w:hAnsi="Open Sans" w:cs="Open Sans"/>
                <w:b/>
                <w:bCs/>
                <w:sz w:val="20"/>
                <w:szCs w:val="20"/>
                <w:lang w:val="en-US"/>
              </w:rPr>
              <w:t xml:space="preserve">at fair value. </w:t>
            </w:r>
            <w:r w:rsidR="009D21FA" w:rsidRPr="009D21FA">
              <w:rPr>
                <w:rFonts w:ascii="Open Sans" w:hAnsi="Open Sans" w:cs="Open Sans"/>
                <w:b/>
                <w:bCs/>
                <w:sz w:val="20"/>
                <w:szCs w:val="20"/>
                <w:lang w:val="en-US"/>
              </w:rPr>
              <w:t xml:space="preserve">We foresee there to be a </w:t>
            </w:r>
            <w:r w:rsidR="00A8654E" w:rsidRPr="009D21FA">
              <w:rPr>
                <w:rFonts w:ascii="Open Sans" w:hAnsi="Open Sans" w:cs="Open Sans"/>
                <w:b/>
                <w:bCs/>
                <w:sz w:val="20"/>
                <w:szCs w:val="20"/>
                <w:lang w:val="en-US"/>
              </w:rPr>
              <w:t xml:space="preserve">cost </w:t>
            </w:r>
            <w:r w:rsidR="009D21FA" w:rsidRPr="009D21FA">
              <w:rPr>
                <w:rFonts w:ascii="Open Sans" w:hAnsi="Open Sans" w:cs="Open Sans"/>
                <w:b/>
                <w:bCs/>
                <w:sz w:val="20"/>
                <w:szCs w:val="20"/>
                <w:lang w:val="en-US"/>
              </w:rPr>
              <w:t xml:space="preserve">vs </w:t>
            </w:r>
            <w:r w:rsidR="00A8654E" w:rsidRPr="009D21FA">
              <w:rPr>
                <w:rFonts w:ascii="Open Sans" w:hAnsi="Open Sans" w:cs="Open Sans"/>
                <w:b/>
                <w:bCs/>
                <w:sz w:val="20"/>
                <w:szCs w:val="20"/>
                <w:lang w:val="en-US"/>
              </w:rPr>
              <w:t>benefit</w:t>
            </w:r>
            <w:r w:rsidR="009D21FA" w:rsidRPr="009D21FA">
              <w:rPr>
                <w:rFonts w:ascii="Open Sans" w:hAnsi="Open Sans" w:cs="Open Sans"/>
                <w:b/>
                <w:bCs/>
                <w:sz w:val="20"/>
                <w:szCs w:val="20"/>
                <w:lang w:val="en-US"/>
              </w:rPr>
              <w:t xml:space="preserve"> issue</w:t>
            </w:r>
            <w:r w:rsidR="00A8654E" w:rsidRPr="009D21FA">
              <w:rPr>
                <w:rFonts w:ascii="Open Sans" w:hAnsi="Open Sans" w:cs="Open Sans"/>
                <w:b/>
                <w:bCs/>
                <w:sz w:val="20"/>
                <w:szCs w:val="20"/>
                <w:lang w:val="en-US"/>
              </w:rPr>
              <w:t xml:space="preserve"> as </w:t>
            </w:r>
            <w:r w:rsidR="009D21FA" w:rsidRPr="009D21FA">
              <w:rPr>
                <w:rFonts w:ascii="Open Sans" w:hAnsi="Open Sans" w:cs="Open Sans"/>
                <w:b/>
                <w:bCs/>
                <w:sz w:val="20"/>
                <w:szCs w:val="20"/>
                <w:lang w:val="en-US"/>
              </w:rPr>
              <w:t>many NPOs</w:t>
            </w:r>
            <w:r w:rsidR="00A8654E" w:rsidRPr="009D21FA">
              <w:rPr>
                <w:rFonts w:ascii="Open Sans" w:hAnsi="Open Sans" w:cs="Open Sans"/>
                <w:b/>
                <w:bCs/>
                <w:sz w:val="20"/>
                <w:szCs w:val="20"/>
                <w:lang w:val="en-US"/>
              </w:rPr>
              <w:t xml:space="preserve"> </w:t>
            </w:r>
            <w:r w:rsidR="009D21FA" w:rsidRPr="009D21FA">
              <w:rPr>
                <w:rFonts w:ascii="Open Sans" w:hAnsi="Open Sans" w:cs="Open Sans"/>
                <w:b/>
                <w:bCs/>
                <w:sz w:val="20"/>
                <w:szCs w:val="20"/>
                <w:lang w:val="en-US"/>
              </w:rPr>
              <w:t>r</w:t>
            </w:r>
            <w:r w:rsidR="00A8654E" w:rsidRPr="009D21FA">
              <w:rPr>
                <w:rFonts w:ascii="Open Sans" w:hAnsi="Open Sans" w:cs="Open Sans"/>
                <w:b/>
                <w:bCs/>
                <w:sz w:val="20"/>
                <w:szCs w:val="20"/>
                <w:lang w:val="en-US"/>
              </w:rPr>
              <w:t xml:space="preserve">eceive </w:t>
            </w:r>
            <w:r w:rsidR="009D21FA" w:rsidRPr="009D21FA">
              <w:rPr>
                <w:rFonts w:ascii="Open Sans" w:hAnsi="Open Sans" w:cs="Open Sans"/>
                <w:b/>
                <w:bCs/>
                <w:sz w:val="20"/>
                <w:szCs w:val="20"/>
                <w:lang w:val="en-US"/>
              </w:rPr>
              <w:t>vast amounts</w:t>
            </w:r>
            <w:r w:rsidR="00A8654E" w:rsidRPr="009D21FA">
              <w:rPr>
                <w:rFonts w:ascii="Open Sans" w:hAnsi="Open Sans" w:cs="Open Sans"/>
                <w:b/>
                <w:bCs/>
                <w:sz w:val="20"/>
                <w:szCs w:val="20"/>
                <w:lang w:val="en-US"/>
              </w:rPr>
              <w:t xml:space="preserve"> of </w:t>
            </w:r>
            <w:proofErr w:type="gramStart"/>
            <w:r w:rsidR="00A8654E" w:rsidRPr="009D21FA">
              <w:rPr>
                <w:rFonts w:ascii="Open Sans" w:hAnsi="Open Sans" w:cs="Open Sans"/>
                <w:b/>
                <w:bCs/>
                <w:sz w:val="20"/>
                <w:szCs w:val="20"/>
                <w:lang w:val="en-US"/>
              </w:rPr>
              <w:t>small donat</w:t>
            </w:r>
            <w:r>
              <w:rPr>
                <w:rFonts w:ascii="Open Sans" w:hAnsi="Open Sans" w:cs="Open Sans"/>
                <w:b/>
                <w:bCs/>
                <w:sz w:val="20"/>
                <w:szCs w:val="20"/>
                <w:lang w:val="en-US"/>
              </w:rPr>
              <w:t>ed</w:t>
            </w:r>
            <w:proofErr w:type="gramEnd"/>
            <w:r w:rsidR="009D21FA" w:rsidRPr="009D21FA">
              <w:rPr>
                <w:rFonts w:ascii="Open Sans" w:hAnsi="Open Sans" w:cs="Open Sans"/>
                <w:b/>
                <w:bCs/>
                <w:sz w:val="20"/>
                <w:szCs w:val="20"/>
                <w:lang w:val="en-US"/>
              </w:rPr>
              <w:t xml:space="preserve"> items (not for resale)</w:t>
            </w:r>
            <w:r w:rsidR="00A8654E" w:rsidRPr="009D21FA">
              <w:rPr>
                <w:rFonts w:ascii="Open Sans" w:hAnsi="Open Sans" w:cs="Open Sans"/>
                <w:b/>
                <w:bCs/>
                <w:sz w:val="20"/>
                <w:szCs w:val="20"/>
                <w:lang w:val="en-US"/>
              </w:rPr>
              <w:t xml:space="preserve"> that </w:t>
            </w:r>
            <w:r w:rsidR="009D21FA" w:rsidRPr="009D21FA">
              <w:rPr>
                <w:rFonts w:ascii="Open Sans" w:hAnsi="Open Sans" w:cs="Open Sans"/>
                <w:b/>
                <w:bCs/>
                <w:sz w:val="20"/>
                <w:szCs w:val="20"/>
                <w:lang w:val="en-US"/>
              </w:rPr>
              <w:t>the NPO</w:t>
            </w:r>
            <w:r w:rsidR="00A8654E" w:rsidRPr="009D21FA">
              <w:rPr>
                <w:rFonts w:ascii="Open Sans" w:hAnsi="Open Sans" w:cs="Open Sans"/>
                <w:b/>
                <w:bCs/>
                <w:sz w:val="20"/>
                <w:szCs w:val="20"/>
                <w:lang w:val="en-US"/>
              </w:rPr>
              <w:t xml:space="preserve"> would</w:t>
            </w:r>
            <w:r w:rsidR="009D21FA" w:rsidRPr="009D21FA">
              <w:rPr>
                <w:rFonts w:ascii="Open Sans" w:hAnsi="Open Sans" w:cs="Open Sans"/>
                <w:b/>
                <w:bCs/>
                <w:sz w:val="20"/>
                <w:szCs w:val="20"/>
                <w:lang w:val="en-US"/>
              </w:rPr>
              <w:t xml:space="preserve"> then</w:t>
            </w:r>
            <w:r w:rsidR="00A8654E" w:rsidRPr="009D21FA">
              <w:rPr>
                <w:rFonts w:ascii="Open Sans" w:hAnsi="Open Sans" w:cs="Open Sans"/>
                <w:b/>
                <w:bCs/>
                <w:sz w:val="20"/>
                <w:szCs w:val="20"/>
                <w:lang w:val="en-US"/>
              </w:rPr>
              <w:t xml:space="preserve"> have to fair value when they use</w:t>
            </w:r>
            <w:r>
              <w:rPr>
                <w:rFonts w:ascii="Open Sans" w:hAnsi="Open Sans" w:cs="Open Sans"/>
                <w:b/>
                <w:bCs/>
                <w:sz w:val="20"/>
                <w:szCs w:val="20"/>
                <w:lang w:val="en-US"/>
              </w:rPr>
              <w:t>/distribute</w:t>
            </w:r>
            <w:r w:rsidR="00A8654E" w:rsidRPr="009D21FA">
              <w:rPr>
                <w:rFonts w:ascii="Open Sans" w:hAnsi="Open Sans" w:cs="Open Sans"/>
                <w:b/>
                <w:bCs/>
                <w:sz w:val="20"/>
                <w:szCs w:val="20"/>
                <w:lang w:val="en-US"/>
              </w:rPr>
              <w:t xml:space="preserve"> them. </w:t>
            </w:r>
            <w:r w:rsidR="009D21FA" w:rsidRPr="009D21FA">
              <w:rPr>
                <w:rFonts w:ascii="Open Sans" w:hAnsi="Open Sans" w:cs="Open Sans"/>
                <w:b/>
                <w:bCs/>
                <w:sz w:val="20"/>
                <w:szCs w:val="20"/>
                <w:lang w:val="en-US"/>
              </w:rPr>
              <w:t>For example</w:t>
            </w:r>
            <w:r w:rsidR="009D21FA">
              <w:rPr>
                <w:rFonts w:ascii="Open Sans" w:hAnsi="Open Sans" w:cs="Open Sans"/>
                <w:b/>
                <w:bCs/>
                <w:sz w:val="20"/>
                <w:szCs w:val="20"/>
                <w:lang w:val="en-US"/>
              </w:rPr>
              <w:t>, disaster relief agencies who receive donations of clothing and household items to be passed on to beneficiaries</w:t>
            </w:r>
            <w:r w:rsidR="00BD4691">
              <w:rPr>
                <w:rFonts w:ascii="Open Sans" w:hAnsi="Open Sans" w:cs="Open Sans"/>
                <w:b/>
                <w:bCs/>
                <w:sz w:val="20"/>
                <w:szCs w:val="20"/>
                <w:lang w:val="en-US"/>
              </w:rPr>
              <w:t xml:space="preserve"> </w:t>
            </w:r>
            <w:r w:rsidR="009D21FA">
              <w:rPr>
                <w:rFonts w:ascii="Open Sans" w:hAnsi="Open Sans" w:cs="Open Sans"/>
                <w:b/>
                <w:bCs/>
                <w:sz w:val="20"/>
                <w:szCs w:val="20"/>
                <w:lang w:val="en-US"/>
              </w:rPr>
              <w:t xml:space="preserve">or </w:t>
            </w:r>
            <w:r w:rsidR="009D21FA">
              <w:rPr>
                <w:rFonts w:ascii="Open Sans" w:hAnsi="Open Sans" w:cs="Open Sans"/>
                <w:b/>
                <w:bCs/>
                <w:sz w:val="20"/>
                <w:szCs w:val="20"/>
                <w:lang w:val="en-US"/>
              </w:rPr>
              <w:lastRenderedPageBreak/>
              <w:t xml:space="preserve">animal </w:t>
            </w:r>
            <w:r>
              <w:rPr>
                <w:rFonts w:ascii="Open Sans" w:hAnsi="Open Sans" w:cs="Open Sans"/>
                <w:b/>
                <w:bCs/>
                <w:sz w:val="20"/>
                <w:szCs w:val="20"/>
                <w:lang w:val="en-US"/>
              </w:rPr>
              <w:t xml:space="preserve">welfare </w:t>
            </w:r>
            <w:r w:rsidR="009D21FA">
              <w:rPr>
                <w:rFonts w:ascii="Open Sans" w:hAnsi="Open Sans" w:cs="Open Sans"/>
                <w:b/>
                <w:bCs/>
                <w:sz w:val="20"/>
                <w:szCs w:val="20"/>
                <w:lang w:val="en-US"/>
              </w:rPr>
              <w:t>focused NPOs who receive donations of resources or food to be used in the care for animals.</w:t>
            </w:r>
            <w:r>
              <w:rPr>
                <w:rFonts w:ascii="Open Sans" w:hAnsi="Open Sans" w:cs="Open Sans"/>
                <w:b/>
                <w:bCs/>
                <w:sz w:val="20"/>
                <w:szCs w:val="20"/>
                <w:lang w:val="en-US"/>
              </w:rPr>
              <w:t xml:space="preserve"> In the supporting webinar ‘Gifts in-kind exceptions – Donations of goods and other assets’, t</w:t>
            </w:r>
            <w:r w:rsidR="009D21FA" w:rsidRPr="009D21FA">
              <w:rPr>
                <w:rFonts w:ascii="Open Sans" w:hAnsi="Open Sans" w:cs="Open Sans"/>
                <w:b/>
                <w:bCs/>
                <w:sz w:val="20"/>
                <w:szCs w:val="20"/>
                <w:lang w:val="en-US"/>
              </w:rPr>
              <w:t xml:space="preserve">here </w:t>
            </w:r>
            <w:r>
              <w:rPr>
                <w:rFonts w:ascii="Open Sans" w:hAnsi="Open Sans" w:cs="Open Sans"/>
                <w:b/>
                <w:bCs/>
                <w:sz w:val="20"/>
                <w:szCs w:val="20"/>
                <w:lang w:val="en-US"/>
              </w:rPr>
              <w:t>is</w:t>
            </w:r>
            <w:r w:rsidR="009D21FA" w:rsidRPr="009D21FA">
              <w:rPr>
                <w:rFonts w:ascii="Open Sans" w:hAnsi="Open Sans" w:cs="Open Sans"/>
                <w:b/>
                <w:bCs/>
                <w:sz w:val="20"/>
                <w:szCs w:val="20"/>
                <w:lang w:val="en-US"/>
              </w:rPr>
              <w:t xml:space="preserve"> an e</w:t>
            </w:r>
            <w:r w:rsidR="009C6642" w:rsidRPr="009D21FA">
              <w:rPr>
                <w:rFonts w:ascii="Open Sans" w:hAnsi="Open Sans" w:cs="Open Sans"/>
                <w:b/>
                <w:bCs/>
                <w:sz w:val="20"/>
                <w:szCs w:val="20"/>
                <w:lang w:val="en-US"/>
              </w:rPr>
              <w:t xml:space="preserve">xception </w:t>
            </w:r>
            <w:r>
              <w:rPr>
                <w:rFonts w:ascii="Open Sans" w:hAnsi="Open Sans" w:cs="Open Sans"/>
                <w:b/>
                <w:bCs/>
                <w:sz w:val="20"/>
                <w:szCs w:val="20"/>
                <w:lang w:val="en-US"/>
              </w:rPr>
              <w:t>referred to</w:t>
            </w:r>
            <w:r w:rsidR="009C6642" w:rsidRPr="009D21FA">
              <w:rPr>
                <w:rFonts w:ascii="Open Sans" w:hAnsi="Open Sans" w:cs="Open Sans"/>
                <w:b/>
                <w:bCs/>
                <w:sz w:val="20"/>
                <w:szCs w:val="20"/>
                <w:lang w:val="en-US"/>
              </w:rPr>
              <w:t xml:space="preserve"> </w:t>
            </w:r>
            <w:r w:rsidR="009D21FA" w:rsidRPr="009D21FA">
              <w:rPr>
                <w:rFonts w:ascii="Open Sans" w:hAnsi="Open Sans" w:cs="Open Sans"/>
                <w:b/>
                <w:bCs/>
                <w:sz w:val="20"/>
                <w:szCs w:val="20"/>
                <w:lang w:val="en-US"/>
              </w:rPr>
              <w:t xml:space="preserve">where an NPO is </w:t>
            </w:r>
            <w:r w:rsidR="009C6642" w:rsidRPr="009D21FA">
              <w:rPr>
                <w:rFonts w:ascii="Open Sans" w:hAnsi="Open Sans" w:cs="Open Sans"/>
                <w:b/>
                <w:bCs/>
                <w:sz w:val="20"/>
                <w:szCs w:val="20"/>
                <w:lang w:val="en-US"/>
              </w:rPr>
              <w:t>unable to reliably measure the value of the donated items</w:t>
            </w:r>
            <w:r w:rsidR="009D21FA" w:rsidRPr="009D21FA">
              <w:rPr>
                <w:rFonts w:ascii="Open Sans" w:hAnsi="Open Sans" w:cs="Open Sans"/>
                <w:b/>
                <w:bCs/>
                <w:sz w:val="20"/>
                <w:szCs w:val="20"/>
                <w:lang w:val="en-US"/>
              </w:rPr>
              <w:t xml:space="preserve"> and they are</w:t>
            </w:r>
            <w:r>
              <w:rPr>
                <w:rFonts w:ascii="Open Sans" w:hAnsi="Open Sans" w:cs="Open Sans"/>
                <w:b/>
                <w:bCs/>
                <w:sz w:val="20"/>
                <w:szCs w:val="20"/>
                <w:lang w:val="en-US"/>
              </w:rPr>
              <w:t xml:space="preserve"> a</w:t>
            </w:r>
            <w:r w:rsidR="009C6642" w:rsidRPr="009D21FA">
              <w:rPr>
                <w:rFonts w:ascii="Open Sans" w:hAnsi="Open Sans" w:cs="Open Sans"/>
                <w:b/>
                <w:bCs/>
                <w:sz w:val="20"/>
                <w:szCs w:val="20"/>
                <w:lang w:val="en-US"/>
              </w:rPr>
              <w:t xml:space="preserve"> small NPO responding to an emergency that lacks the resources to keep records for large volumes of donated items which are distributed almost immediately</w:t>
            </w:r>
            <w:r w:rsidR="00BD4691">
              <w:rPr>
                <w:rFonts w:ascii="Open Sans" w:hAnsi="Open Sans" w:cs="Open Sans"/>
                <w:b/>
                <w:bCs/>
                <w:sz w:val="20"/>
                <w:szCs w:val="20"/>
                <w:lang w:val="en-US"/>
              </w:rPr>
              <w:t>.  In this scenario the NPO is</w:t>
            </w:r>
            <w:r w:rsidR="009D21FA" w:rsidRPr="009D21FA">
              <w:rPr>
                <w:rFonts w:ascii="Open Sans" w:hAnsi="Open Sans" w:cs="Open Sans"/>
                <w:b/>
                <w:bCs/>
                <w:sz w:val="20"/>
                <w:szCs w:val="20"/>
                <w:lang w:val="en-US"/>
              </w:rPr>
              <w:t xml:space="preserve"> </w:t>
            </w:r>
            <w:r>
              <w:rPr>
                <w:rFonts w:ascii="Open Sans" w:hAnsi="Open Sans" w:cs="Open Sans"/>
                <w:b/>
                <w:bCs/>
                <w:sz w:val="20"/>
                <w:szCs w:val="20"/>
                <w:lang w:val="en-US"/>
              </w:rPr>
              <w:t>exempt from</w:t>
            </w:r>
            <w:r w:rsidR="009D21FA" w:rsidRPr="009D21FA">
              <w:rPr>
                <w:rFonts w:ascii="Open Sans" w:hAnsi="Open Sans" w:cs="Open Sans"/>
                <w:b/>
                <w:bCs/>
                <w:sz w:val="20"/>
                <w:szCs w:val="20"/>
                <w:lang w:val="en-US"/>
              </w:rPr>
              <w:t xml:space="preserve"> recognis</w:t>
            </w:r>
            <w:r>
              <w:rPr>
                <w:rFonts w:ascii="Open Sans" w:hAnsi="Open Sans" w:cs="Open Sans"/>
                <w:b/>
                <w:bCs/>
                <w:sz w:val="20"/>
                <w:szCs w:val="20"/>
                <w:lang w:val="en-US"/>
              </w:rPr>
              <w:t>ing</w:t>
            </w:r>
            <w:r w:rsidR="009D21FA" w:rsidRPr="009D21FA">
              <w:rPr>
                <w:rFonts w:ascii="Open Sans" w:hAnsi="Open Sans" w:cs="Open Sans"/>
                <w:b/>
                <w:bCs/>
                <w:sz w:val="20"/>
                <w:szCs w:val="20"/>
                <w:lang w:val="en-US"/>
              </w:rPr>
              <w:t xml:space="preserve"> these donated</w:t>
            </w:r>
            <w:r>
              <w:rPr>
                <w:rFonts w:ascii="Open Sans" w:hAnsi="Open Sans" w:cs="Open Sans"/>
                <w:b/>
                <w:bCs/>
                <w:sz w:val="20"/>
                <w:szCs w:val="20"/>
                <w:lang w:val="en-US"/>
              </w:rPr>
              <w:t xml:space="preserve"> items</w:t>
            </w:r>
            <w:r w:rsidR="009D21FA" w:rsidRPr="009D21FA">
              <w:rPr>
                <w:rFonts w:ascii="Open Sans" w:hAnsi="Open Sans" w:cs="Open Sans"/>
                <w:b/>
                <w:bCs/>
                <w:sz w:val="20"/>
                <w:szCs w:val="20"/>
                <w:lang w:val="en-US"/>
              </w:rPr>
              <w:t>.</w:t>
            </w:r>
            <w:r>
              <w:rPr>
                <w:rFonts w:ascii="Open Sans" w:hAnsi="Open Sans" w:cs="Open Sans"/>
                <w:b/>
                <w:bCs/>
                <w:sz w:val="20"/>
                <w:szCs w:val="20"/>
                <w:lang w:val="en-US"/>
              </w:rPr>
              <w:t xml:space="preserve">  This cost vs benefit exception appears to be available only in extreme </w:t>
            </w:r>
            <w:proofErr w:type="gramStart"/>
            <w:r>
              <w:rPr>
                <w:rFonts w:ascii="Open Sans" w:hAnsi="Open Sans" w:cs="Open Sans"/>
                <w:b/>
                <w:bCs/>
                <w:sz w:val="20"/>
                <w:szCs w:val="20"/>
                <w:lang w:val="en-US"/>
              </w:rPr>
              <w:t>cases</w:t>
            </w:r>
            <w:r w:rsidR="00BD2F35">
              <w:rPr>
                <w:rFonts w:ascii="Open Sans" w:hAnsi="Open Sans" w:cs="Open Sans"/>
                <w:b/>
                <w:bCs/>
                <w:sz w:val="20"/>
                <w:szCs w:val="20"/>
                <w:lang w:val="en-US"/>
              </w:rPr>
              <w:t>, but</w:t>
            </w:r>
            <w:proofErr w:type="gramEnd"/>
            <w:r w:rsidR="00BD2F35">
              <w:rPr>
                <w:rFonts w:ascii="Open Sans" w:hAnsi="Open Sans" w:cs="Open Sans"/>
                <w:b/>
                <w:bCs/>
                <w:sz w:val="20"/>
                <w:szCs w:val="20"/>
                <w:lang w:val="en-US"/>
              </w:rPr>
              <w:t xml:space="preserve"> would be a useful exception for a number of charities receiving a large number of small donations, as previously described</w:t>
            </w:r>
            <w:r w:rsidR="00BD4691">
              <w:rPr>
                <w:rFonts w:ascii="Open Sans" w:hAnsi="Open Sans" w:cs="Open Sans"/>
                <w:b/>
                <w:bCs/>
                <w:sz w:val="20"/>
                <w:szCs w:val="20"/>
                <w:lang w:val="en-US"/>
              </w:rPr>
              <w:t>.</w:t>
            </w:r>
            <w:r>
              <w:rPr>
                <w:rFonts w:ascii="Open Sans" w:hAnsi="Open Sans" w:cs="Open Sans"/>
                <w:b/>
                <w:bCs/>
                <w:sz w:val="20"/>
                <w:szCs w:val="20"/>
                <w:lang w:val="en-US"/>
              </w:rPr>
              <w:t xml:space="preserve"> </w:t>
            </w:r>
            <w:r w:rsidR="00BD4691">
              <w:rPr>
                <w:rFonts w:ascii="Open Sans" w:hAnsi="Open Sans" w:cs="Open Sans"/>
                <w:b/>
                <w:bCs/>
                <w:sz w:val="20"/>
                <w:szCs w:val="20"/>
                <w:lang w:val="en-US"/>
              </w:rPr>
              <w:t>I</w:t>
            </w:r>
            <w:r>
              <w:rPr>
                <w:rFonts w:ascii="Open Sans" w:hAnsi="Open Sans" w:cs="Open Sans"/>
                <w:b/>
                <w:bCs/>
                <w:sz w:val="20"/>
                <w:szCs w:val="20"/>
                <w:lang w:val="en-US"/>
              </w:rPr>
              <w:t>t is</w:t>
            </w:r>
            <w:r w:rsidR="00BD4691">
              <w:rPr>
                <w:rFonts w:ascii="Open Sans" w:hAnsi="Open Sans" w:cs="Open Sans"/>
                <w:b/>
                <w:bCs/>
                <w:sz w:val="20"/>
                <w:szCs w:val="20"/>
                <w:lang w:val="en-US"/>
              </w:rPr>
              <w:t xml:space="preserve"> also</w:t>
            </w:r>
            <w:r>
              <w:rPr>
                <w:rFonts w:ascii="Open Sans" w:hAnsi="Open Sans" w:cs="Open Sans"/>
                <w:b/>
                <w:bCs/>
                <w:sz w:val="20"/>
                <w:szCs w:val="20"/>
                <w:lang w:val="en-US"/>
              </w:rPr>
              <w:t xml:space="preserve"> unclear what the definition of a small NPO is.  We also note that any such exception </w:t>
            </w:r>
            <w:r w:rsidR="00BD4691">
              <w:rPr>
                <w:rFonts w:ascii="Open Sans" w:hAnsi="Open Sans" w:cs="Open Sans"/>
                <w:b/>
                <w:bCs/>
                <w:sz w:val="20"/>
                <w:szCs w:val="20"/>
                <w:lang w:val="en-US"/>
              </w:rPr>
              <w:t>does not appear</w:t>
            </w:r>
            <w:r w:rsidR="009D21FA" w:rsidRPr="009D21FA">
              <w:rPr>
                <w:rFonts w:ascii="Open Sans" w:hAnsi="Open Sans" w:cs="Open Sans"/>
                <w:b/>
                <w:bCs/>
                <w:sz w:val="20"/>
                <w:szCs w:val="20"/>
                <w:lang w:val="en-US"/>
              </w:rPr>
              <w:t xml:space="preserve"> in the list of exceptions in the guidance (G23.37)</w:t>
            </w:r>
            <w:r w:rsidR="00BD4691">
              <w:rPr>
                <w:rFonts w:ascii="Open Sans" w:hAnsi="Open Sans" w:cs="Open Sans"/>
                <w:b/>
                <w:bCs/>
                <w:sz w:val="20"/>
                <w:szCs w:val="20"/>
                <w:lang w:val="en-US"/>
              </w:rPr>
              <w:t xml:space="preserve"> in the standard</w:t>
            </w:r>
            <w:r w:rsidR="009D21FA" w:rsidRPr="009D21FA">
              <w:rPr>
                <w:rFonts w:ascii="Open Sans" w:hAnsi="Open Sans" w:cs="Open Sans"/>
                <w:b/>
                <w:bCs/>
                <w:sz w:val="20"/>
                <w:szCs w:val="20"/>
                <w:lang w:val="en-US"/>
              </w:rPr>
              <w:t xml:space="preserve">. </w:t>
            </w:r>
          </w:p>
        </w:tc>
      </w:tr>
      <w:tr w:rsidR="00B62A32" w:rsidRPr="00EB6705" w14:paraId="479D4BDA" w14:textId="77777777" w:rsidTr="00A276B0">
        <w:tc>
          <w:tcPr>
            <w:tcW w:w="4388" w:type="dxa"/>
          </w:tcPr>
          <w:p w14:paraId="4EDD2270" w14:textId="224E36E9" w:rsidR="00B62A32" w:rsidRPr="009D21FA" w:rsidRDefault="00B62A32" w:rsidP="00B62A32">
            <w:pPr>
              <w:numPr>
                <w:ilvl w:val="0"/>
                <w:numId w:val="3"/>
              </w:numPr>
              <w:ind w:left="318"/>
              <w:contextualSpacing/>
              <w:jc w:val="both"/>
              <w:rPr>
                <w:rFonts w:ascii="Open Sans" w:hAnsi="Open Sans" w:cs="Open Sans"/>
                <w:sz w:val="20"/>
                <w:szCs w:val="20"/>
                <w:lang w:val="en-US"/>
              </w:rPr>
            </w:pPr>
            <w:r w:rsidRPr="009D21FA">
              <w:rPr>
                <w:rFonts w:ascii="Open Sans" w:hAnsi="Open Sans" w:cs="Open Sans"/>
                <w:sz w:val="20"/>
                <w:szCs w:val="20"/>
              </w:rPr>
              <w:lastRenderedPageBreak/>
              <w:t>Do you agree that services in-kind are not required to be recognised unless they are mission critical? 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47ADEC20" w14:textId="4929E093" w:rsidR="00BD4691" w:rsidRDefault="00581C73" w:rsidP="00B62A32">
            <w:pPr>
              <w:rPr>
                <w:rFonts w:ascii="Open Sans" w:hAnsi="Open Sans" w:cs="Open Sans"/>
                <w:b/>
                <w:bCs/>
                <w:sz w:val="20"/>
                <w:szCs w:val="20"/>
                <w:lang w:val="en-US"/>
              </w:rPr>
            </w:pPr>
            <w:r w:rsidRPr="00581C73">
              <w:rPr>
                <w:rFonts w:ascii="Open Sans" w:hAnsi="Open Sans" w:cs="Open Sans"/>
                <w:b/>
                <w:bCs/>
                <w:sz w:val="20"/>
                <w:szCs w:val="20"/>
                <w:lang w:val="en-US"/>
              </w:rPr>
              <w:t xml:space="preserve">The current proposal states that all gifts in kind </w:t>
            </w:r>
            <w:r w:rsidR="00BD4691">
              <w:rPr>
                <w:rFonts w:ascii="Open Sans" w:hAnsi="Open Sans" w:cs="Open Sans"/>
                <w:b/>
                <w:bCs/>
                <w:sz w:val="20"/>
                <w:szCs w:val="20"/>
                <w:lang w:val="en-US"/>
              </w:rPr>
              <w:t xml:space="preserve">of services </w:t>
            </w:r>
            <w:r w:rsidRPr="00581C73">
              <w:rPr>
                <w:rFonts w:ascii="Open Sans" w:hAnsi="Open Sans" w:cs="Open Sans"/>
                <w:b/>
                <w:bCs/>
                <w:sz w:val="20"/>
                <w:szCs w:val="20"/>
                <w:lang w:val="en-US"/>
              </w:rPr>
              <w:t xml:space="preserve">that are </w:t>
            </w:r>
            <w:r w:rsidR="00BD4691">
              <w:rPr>
                <w:rFonts w:ascii="Open Sans" w:hAnsi="Open Sans" w:cs="Open Sans"/>
                <w:b/>
                <w:bCs/>
                <w:sz w:val="20"/>
                <w:szCs w:val="20"/>
                <w:lang w:val="en-US"/>
              </w:rPr>
              <w:t>‘</w:t>
            </w:r>
            <w:r w:rsidRPr="00581C73">
              <w:rPr>
                <w:rFonts w:ascii="Open Sans" w:hAnsi="Open Sans" w:cs="Open Sans"/>
                <w:b/>
                <w:bCs/>
                <w:sz w:val="20"/>
                <w:szCs w:val="20"/>
                <w:lang w:val="en-US"/>
              </w:rPr>
              <w:t>critical</w:t>
            </w:r>
            <w:r w:rsidR="00BD4691">
              <w:rPr>
                <w:rFonts w:ascii="Open Sans" w:hAnsi="Open Sans" w:cs="Open Sans"/>
                <w:b/>
                <w:bCs/>
                <w:sz w:val="20"/>
                <w:szCs w:val="20"/>
                <w:lang w:val="en-US"/>
              </w:rPr>
              <w:t>’</w:t>
            </w:r>
            <w:r w:rsidRPr="00581C73">
              <w:rPr>
                <w:rFonts w:ascii="Open Sans" w:hAnsi="Open Sans" w:cs="Open Sans"/>
                <w:b/>
                <w:bCs/>
                <w:sz w:val="20"/>
                <w:szCs w:val="20"/>
                <w:lang w:val="en-US"/>
              </w:rPr>
              <w:t xml:space="preserve"> should be recognised as revenue. </w:t>
            </w:r>
          </w:p>
          <w:p w14:paraId="700AC764" w14:textId="77777777" w:rsidR="00BD4691" w:rsidRDefault="00BD4691" w:rsidP="00B62A32">
            <w:pPr>
              <w:rPr>
                <w:rFonts w:ascii="Open Sans" w:hAnsi="Open Sans" w:cs="Open Sans"/>
                <w:b/>
                <w:bCs/>
                <w:sz w:val="20"/>
                <w:szCs w:val="20"/>
                <w:lang w:val="en-US"/>
              </w:rPr>
            </w:pPr>
          </w:p>
          <w:p w14:paraId="6739A26C" w14:textId="5B57D25B" w:rsidR="00BD4691" w:rsidRDefault="00BD4691" w:rsidP="00B62A32">
            <w:pPr>
              <w:rPr>
                <w:rFonts w:ascii="Open Sans" w:hAnsi="Open Sans" w:cs="Open Sans"/>
                <w:b/>
                <w:bCs/>
                <w:sz w:val="20"/>
                <w:szCs w:val="20"/>
                <w:lang w:val="en-US"/>
              </w:rPr>
            </w:pPr>
            <w:r>
              <w:rPr>
                <w:rFonts w:ascii="Open Sans" w:hAnsi="Open Sans" w:cs="Open Sans"/>
                <w:b/>
                <w:bCs/>
                <w:sz w:val="20"/>
                <w:szCs w:val="20"/>
                <w:lang w:val="en-US"/>
              </w:rPr>
              <w:t>The term ‘critical’ is open to significant judgement as to whether the</w:t>
            </w:r>
            <w:r w:rsidR="001B2900">
              <w:rPr>
                <w:rFonts w:ascii="Open Sans" w:hAnsi="Open Sans" w:cs="Open Sans"/>
                <w:b/>
                <w:bCs/>
                <w:sz w:val="20"/>
                <w:szCs w:val="20"/>
                <w:lang w:val="en-US"/>
              </w:rPr>
              <w:t xml:space="preserve"> absence of the</w:t>
            </w:r>
            <w:r>
              <w:rPr>
                <w:rFonts w:ascii="Open Sans" w:hAnsi="Open Sans" w:cs="Open Sans"/>
                <w:b/>
                <w:bCs/>
                <w:sz w:val="20"/>
                <w:szCs w:val="20"/>
                <w:lang w:val="en-US"/>
              </w:rPr>
              <w:t xml:space="preserve"> service or donation would materially impact the activities of the NPO. We propose an alternative benchmark to be gifts in kind of those services that the NPO would otherwise pay for, had they not been donated. This would demonstrate the benefit to the NPO and may therefore be more relevant to a user of the financial statements.</w:t>
            </w:r>
          </w:p>
          <w:p w14:paraId="1624431D" w14:textId="77777777" w:rsidR="00BD4691" w:rsidRDefault="00BD4691" w:rsidP="00B62A32">
            <w:pPr>
              <w:rPr>
                <w:rFonts w:ascii="Open Sans" w:hAnsi="Open Sans" w:cs="Open Sans"/>
                <w:b/>
                <w:bCs/>
                <w:sz w:val="20"/>
                <w:szCs w:val="20"/>
                <w:lang w:val="en-US"/>
              </w:rPr>
            </w:pPr>
          </w:p>
          <w:p w14:paraId="65D8C227" w14:textId="67477947" w:rsidR="009C6642" w:rsidRPr="00581C73" w:rsidRDefault="00BD4691" w:rsidP="00B62A32">
            <w:pPr>
              <w:rPr>
                <w:rFonts w:ascii="Open Sans" w:hAnsi="Open Sans" w:cs="Open Sans"/>
                <w:b/>
                <w:bCs/>
                <w:sz w:val="20"/>
                <w:szCs w:val="20"/>
                <w:lang w:val="en-US"/>
              </w:rPr>
            </w:pPr>
            <w:r>
              <w:rPr>
                <w:rFonts w:ascii="Open Sans" w:hAnsi="Open Sans" w:cs="Open Sans"/>
                <w:b/>
                <w:bCs/>
                <w:sz w:val="20"/>
                <w:szCs w:val="20"/>
                <w:lang w:val="en-US"/>
              </w:rPr>
              <w:lastRenderedPageBreak/>
              <w:t>We note specifically that many</w:t>
            </w:r>
            <w:r w:rsidR="00581C73" w:rsidRPr="00581C73">
              <w:rPr>
                <w:rFonts w:ascii="Open Sans" w:hAnsi="Open Sans" w:cs="Open Sans"/>
                <w:b/>
                <w:bCs/>
                <w:sz w:val="20"/>
                <w:szCs w:val="20"/>
                <w:lang w:val="en-US"/>
              </w:rPr>
              <w:t xml:space="preserve"> NPOs rely on the support of unpaid volunteers to carry out vital functions in the NPO. However, reliably fair valuing staff time is a recognised issue in IFRS (hence an alternative method is provided</w:t>
            </w:r>
            <w:r w:rsidR="00180B89">
              <w:rPr>
                <w:rFonts w:ascii="Open Sans" w:hAnsi="Open Sans" w:cs="Open Sans"/>
                <w:b/>
                <w:bCs/>
                <w:sz w:val="20"/>
                <w:szCs w:val="20"/>
                <w:lang w:val="en-US"/>
              </w:rPr>
              <w:t xml:space="preserve">, for </w:t>
            </w:r>
            <w:proofErr w:type="gramStart"/>
            <w:r w:rsidR="00180B89">
              <w:rPr>
                <w:rFonts w:ascii="Open Sans" w:hAnsi="Open Sans" w:cs="Open Sans"/>
                <w:b/>
                <w:bCs/>
                <w:sz w:val="20"/>
                <w:szCs w:val="20"/>
                <w:lang w:val="en-US"/>
              </w:rPr>
              <w:t xml:space="preserve">example, </w:t>
            </w:r>
            <w:r w:rsidR="00581C73" w:rsidRPr="00581C73">
              <w:rPr>
                <w:rFonts w:ascii="Open Sans" w:hAnsi="Open Sans" w:cs="Open Sans"/>
                <w:b/>
                <w:bCs/>
                <w:sz w:val="20"/>
                <w:szCs w:val="20"/>
                <w:lang w:val="en-US"/>
              </w:rPr>
              <w:t xml:space="preserve"> to</w:t>
            </w:r>
            <w:proofErr w:type="gramEnd"/>
            <w:r w:rsidR="00581C73" w:rsidRPr="00581C73">
              <w:rPr>
                <w:rFonts w:ascii="Open Sans" w:hAnsi="Open Sans" w:cs="Open Sans"/>
                <w:b/>
                <w:bCs/>
                <w:sz w:val="20"/>
                <w:szCs w:val="20"/>
                <w:lang w:val="en-US"/>
              </w:rPr>
              <w:t xml:space="preserve"> calculate</w:t>
            </w:r>
            <w:r>
              <w:rPr>
                <w:rFonts w:ascii="Open Sans" w:hAnsi="Open Sans" w:cs="Open Sans"/>
                <w:b/>
                <w:bCs/>
                <w:sz w:val="20"/>
                <w:szCs w:val="20"/>
                <w:lang w:val="en-US"/>
              </w:rPr>
              <w:t xml:space="preserve"> the value of</w:t>
            </w:r>
            <w:r w:rsidR="00581C73" w:rsidRPr="00581C73">
              <w:rPr>
                <w:rFonts w:ascii="Open Sans" w:hAnsi="Open Sans" w:cs="Open Sans"/>
                <w:b/>
                <w:bCs/>
                <w:sz w:val="20"/>
                <w:szCs w:val="20"/>
                <w:lang w:val="en-US"/>
              </w:rPr>
              <w:t xml:space="preserve"> share based payments to employees rather than using the fair value of the service). We cannot see what additional benefit users of financial statements would obtain from an estimated value being attributed to </w:t>
            </w:r>
            <w:r>
              <w:rPr>
                <w:rFonts w:ascii="Open Sans" w:hAnsi="Open Sans" w:cs="Open Sans"/>
                <w:b/>
                <w:bCs/>
                <w:sz w:val="20"/>
                <w:szCs w:val="20"/>
                <w:lang w:val="en-US"/>
              </w:rPr>
              <w:t>volunteer</w:t>
            </w:r>
            <w:r w:rsidRPr="00581C73">
              <w:rPr>
                <w:rFonts w:ascii="Open Sans" w:hAnsi="Open Sans" w:cs="Open Sans"/>
                <w:b/>
                <w:bCs/>
                <w:sz w:val="20"/>
                <w:szCs w:val="20"/>
                <w:lang w:val="en-US"/>
              </w:rPr>
              <w:t xml:space="preserve"> </w:t>
            </w:r>
            <w:r w:rsidR="00581C73" w:rsidRPr="00581C73">
              <w:rPr>
                <w:rFonts w:ascii="Open Sans" w:hAnsi="Open Sans" w:cs="Open Sans"/>
                <w:b/>
                <w:bCs/>
                <w:sz w:val="20"/>
                <w:szCs w:val="20"/>
                <w:lang w:val="en-US"/>
              </w:rPr>
              <w:t xml:space="preserve">time, rather than a narrative disclosure making clear the extent (number) of volunteers and their key roles in the business. The cost to do this for the NPOs, particularly when the number of volunteers reaches into the thousands would be excessive. Also, </w:t>
            </w:r>
            <w:r>
              <w:rPr>
                <w:rFonts w:ascii="Open Sans" w:hAnsi="Open Sans" w:cs="Open Sans"/>
                <w:b/>
                <w:bCs/>
                <w:sz w:val="20"/>
                <w:szCs w:val="20"/>
                <w:lang w:val="en-US"/>
              </w:rPr>
              <w:t>contention could arise where the contribution of</w:t>
            </w:r>
            <w:r w:rsidR="00581C73" w:rsidRPr="00581C73">
              <w:rPr>
                <w:rFonts w:ascii="Open Sans" w:hAnsi="Open Sans" w:cs="Open Sans"/>
                <w:b/>
                <w:bCs/>
                <w:sz w:val="20"/>
                <w:szCs w:val="20"/>
                <w:lang w:val="en-US"/>
              </w:rPr>
              <w:t xml:space="preserve"> volunteers </w:t>
            </w:r>
            <w:r>
              <w:rPr>
                <w:rFonts w:ascii="Open Sans" w:hAnsi="Open Sans" w:cs="Open Sans"/>
                <w:b/>
                <w:bCs/>
                <w:sz w:val="20"/>
                <w:szCs w:val="20"/>
                <w:lang w:val="en-US"/>
              </w:rPr>
              <w:t>has not been deemed to be business critical.</w:t>
            </w:r>
          </w:p>
        </w:tc>
      </w:tr>
      <w:tr w:rsidR="00B62A32" w:rsidRPr="00EB6705" w14:paraId="37B12AA1" w14:textId="77777777" w:rsidTr="00A276B0">
        <w:tc>
          <w:tcPr>
            <w:tcW w:w="4388" w:type="dxa"/>
          </w:tcPr>
          <w:p w14:paraId="06A555E6" w14:textId="089BCEF3" w:rsidR="00B62A32" w:rsidRPr="009D21FA" w:rsidRDefault="00B62A32" w:rsidP="00B62A32">
            <w:pPr>
              <w:numPr>
                <w:ilvl w:val="0"/>
                <w:numId w:val="3"/>
              </w:numPr>
              <w:ind w:left="318"/>
              <w:contextualSpacing/>
              <w:jc w:val="both"/>
              <w:rPr>
                <w:rFonts w:ascii="Open Sans" w:hAnsi="Open Sans" w:cs="Open Sans"/>
                <w:sz w:val="20"/>
                <w:szCs w:val="20"/>
                <w:lang w:val="en-US"/>
              </w:rPr>
            </w:pPr>
            <w:r w:rsidRPr="009D21FA">
              <w:rPr>
                <w:rFonts w:ascii="Open Sans" w:hAnsi="Open Sans" w:cs="Open Sans"/>
                <w:sz w:val="20"/>
                <w:szCs w:val="20"/>
              </w:rPr>
              <w:lastRenderedPageBreak/>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229F5463" w:rsidR="00B62A32" w:rsidRPr="00EB6705" w:rsidRDefault="00581C73" w:rsidP="00B62A32">
            <w:pPr>
              <w:rPr>
                <w:rFonts w:ascii="Open Sans" w:hAnsi="Open Sans" w:cs="Open Sans"/>
                <w:b/>
                <w:bCs/>
                <w:sz w:val="20"/>
                <w:szCs w:val="20"/>
                <w:lang w:val="en-US"/>
              </w:rPr>
            </w:pPr>
            <w:r>
              <w:rPr>
                <w:rFonts w:ascii="Open Sans" w:hAnsi="Open Sans" w:cs="Open Sans"/>
                <w:b/>
                <w:bCs/>
                <w:sz w:val="20"/>
                <w:szCs w:val="20"/>
                <w:lang w:val="en-US"/>
              </w:rPr>
              <w:t>We concur that including donations in kind at fair value is appropriate. However, we reserve</w:t>
            </w:r>
            <w:r w:rsidR="001B2900">
              <w:rPr>
                <w:rFonts w:ascii="Open Sans" w:hAnsi="Open Sans" w:cs="Open Sans"/>
                <w:b/>
                <w:bCs/>
                <w:sz w:val="20"/>
                <w:szCs w:val="20"/>
                <w:lang w:val="en-US"/>
              </w:rPr>
              <w:t xml:space="preserve"> further</w:t>
            </w:r>
            <w:r>
              <w:rPr>
                <w:rFonts w:ascii="Open Sans" w:hAnsi="Open Sans" w:cs="Open Sans"/>
                <w:b/>
                <w:bCs/>
                <w:sz w:val="20"/>
                <w:szCs w:val="20"/>
                <w:lang w:val="en-US"/>
              </w:rPr>
              <w:t xml:space="preserve"> comment until the guidance is drafted providing additional narrative on how fair value for donations in kind should be derived. </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63EEFACD" w14:textId="77777777" w:rsidR="00BC00E7" w:rsidRDefault="00BC00E7" w:rsidP="00B62A32">
            <w:pPr>
              <w:rPr>
                <w:rFonts w:ascii="Open Sans" w:hAnsi="Open Sans" w:cs="Open Sans"/>
                <w:b/>
                <w:bCs/>
                <w:sz w:val="20"/>
                <w:szCs w:val="20"/>
                <w:lang w:val="en-US"/>
              </w:rPr>
            </w:pPr>
            <w:r>
              <w:rPr>
                <w:rFonts w:ascii="Open Sans" w:hAnsi="Open Sans" w:cs="Open Sans"/>
                <w:b/>
                <w:bCs/>
                <w:sz w:val="20"/>
                <w:szCs w:val="20"/>
                <w:lang w:val="en-US"/>
              </w:rPr>
              <w:t xml:space="preserve">We agree that administrative tasks wholly within the control of the entity should not constitute separate EGOs. </w:t>
            </w:r>
          </w:p>
          <w:p w14:paraId="5B6A816C" w14:textId="77777777" w:rsidR="00BA1D5A" w:rsidRDefault="00BA1D5A" w:rsidP="00B62A32">
            <w:pPr>
              <w:rPr>
                <w:rFonts w:ascii="Open Sans" w:hAnsi="Open Sans" w:cs="Open Sans"/>
                <w:b/>
                <w:bCs/>
                <w:sz w:val="20"/>
                <w:szCs w:val="20"/>
                <w:lang w:val="en-US"/>
              </w:rPr>
            </w:pPr>
          </w:p>
          <w:p w14:paraId="18BB9F53" w14:textId="77777777" w:rsidR="00BC00E7" w:rsidRDefault="00BC00E7" w:rsidP="00B62A32">
            <w:pPr>
              <w:rPr>
                <w:rFonts w:ascii="Open Sans" w:hAnsi="Open Sans" w:cs="Open Sans"/>
                <w:b/>
                <w:bCs/>
                <w:sz w:val="20"/>
                <w:szCs w:val="20"/>
                <w:lang w:val="en-US"/>
              </w:rPr>
            </w:pPr>
            <w:r>
              <w:rPr>
                <w:rFonts w:ascii="Open Sans" w:hAnsi="Open Sans" w:cs="Open Sans"/>
                <w:b/>
                <w:bCs/>
                <w:sz w:val="20"/>
                <w:szCs w:val="20"/>
                <w:lang w:val="en-US"/>
              </w:rPr>
              <w:t xml:space="preserve">However, if an EGO contains a significant administrative task that is not wholly within the control of the entity, for example obtaining a patent which would have to be approved by a patent office or obtaining Governmental permission, this could constitute an EGO. </w:t>
            </w:r>
          </w:p>
          <w:p w14:paraId="6E912D3F" w14:textId="77777777" w:rsidR="00BA1D5A" w:rsidRDefault="00BA1D5A" w:rsidP="00B62A32">
            <w:pPr>
              <w:rPr>
                <w:rFonts w:ascii="Open Sans" w:hAnsi="Open Sans" w:cs="Open Sans"/>
                <w:b/>
                <w:bCs/>
                <w:sz w:val="20"/>
                <w:szCs w:val="20"/>
                <w:lang w:val="en-US"/>
              </w:rPr>
            </w:pPr>
          </w:p>
          <w:p w14:paraId="7D4C19D5" w14:textId="485DE740" w:rsidR="00B62A32" w:rsidRPr="00EB6705" w:rsidRDefault="00BC00E7" w:rsidP="00B62A32">
            <w:pPr>
              <w:rPr>
                <w:rFonts w:ascii="Open Sans" w:hAnsi="Open Sans" w:cs="Open Sans"/>
                <w:b/>
                <w:bCs/>
                <w:sz w:val="20"/>
                <w:szCs w:val="20"/>
                <w:lang w:val="en-US"/>
              </w:rPr>
            </w:pPr>
            <w:r>
              <w:rPr>
                <w:rFonts w:ascii="Open Sans" w:hAnsi="Open Sans" w:cs="Open Sans"/>
                <w:b/>
                <w:bCs/>
                <w:sz w:val="20"/>
                <w:szCs w:val="20"/>
                <w:lang w:val="en-US"/>
              </w:rPr>
              <w:lastRenderedPageBreak/>
              <w:t xml:space="preserve">Therefore, we would recommend that the guidance provides the caveat that the administrative activity is wholly within the control of the entity. </w:t>
            </w:r>
          </w:p>
        </w:tc>
      </w:tr>
      <w:tr w:rsidR="00B62A32" w:rsidRPr="00EB6705" w14:paraId="44026600" w14:textId="77777777" w:rsidTr="00A276B0">
        <w:tc>
          <w:tcPr>
            <w:tcW w:w="4388" w:type="dxa"/>
          </w:tcPr>
          <w:p w14:paraId="358106B3" w14:textId="7CBA7217" w:rsidR="00B62A32" w:rsidRPr="000941AE" w:rsidRDefault="00B62A32" w:rsidP="00B62A32">
            <w:pPr>
              <w:numPr>
                <w:ilvl w:val="0"/>
                <w:numId w:val="3"/>
              </w:numPr>
              <w:ind w:left="318"/>
              <w:contextualSpacing/>
              <w:jc w:val="both"/>
              <w:rPr>
                <w:rFonts w:ascii="Open Sans" w:hAnsi="Open Sans" w:cs="Open Sans"/>
                <w:sz w:val="20"/>
                <w:szCs w:val="20"/>
                <w:lang w:val="en-US"/>
              </w:rPr>
            </w:pPr>
            <w:r w:rsidRPr="000941AE">
              <w:rPr>
                <w:rFonts w:ascii="Open Sans" w:hAnsi="Open Sans" w:cs="Open Sans"/>
                <w:sz w:val="20"/>
                <w:szCs w:val="20"/>
              </w:rPr>
              <w:lastRenderedPageBreak/>
              <w:t>Do the proposals for disclosure of grant revenue provide an appropriate level of transparency? 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6F7392C5" w14:textId="247DBE6C" w:rsidR="00B62A32" w:rsidRDefault="00587709" w:rsidP="00B62A32">
            <w:pPr>
              <w:rPr>
                <w:rFonts w:ascii="Open Sans" w:hAnsi="Open Sans" w:cs="Open Sans"/>
                <w:b/>
                <w:bCs/>
                <w:sz w:val="20"/>
                <w:szCs w:val="20"/>
                <w:lang w:val="en-US"/>
              </w:rPr>
            </w:pPr>
            <w:r>
              <w:rPr>
                <w:rFonts w:ascii="Open Sans" w:hAnsi="Open Sans" w:cs="Open Sans"/>
                <w:b/>
                <w:bCs/>
                <w:sz w:val="20"/>
                <w:szCs w:val="20"/>
                <w:lang w:val="en-US"/>
              </w:rPr>
              <w:t xml:space="preserve">Additional disaggregation between cash, gifts and services is only proposed for OFAs. </w:t>
            </w:r>
            <w:r w:rsidR="001B2900">
              <w:rPr>
                <w:rFonts w:ascii="Open Sans" w:hAnsi="Open Sans" w:cs="Open Sans"/>
                <w:b/>
                <w:bCs/>
                <w:sz w:val="20"/>
                <w:szCs w:val="20"/>
                <w:lang w:val="en-US"/>
              </w:rPr>
              <w:t>We consider</w:t>
            </w:r>
            <w:r>
              <w:rPr>
                <w:rFonts w:ascii="Open Sans" w:hAnsi="Open Sans" w:cs="Open Sans"/>
                <w:b/>
                <w:bCs/>
                <w:sz w:val="20"/>
                <w:szCs w:val="20"/>
                <w:lang w:val="en-US"/>
              </w:rPr>
              <w:t xml:space="preserve"> that a similar level of disaggregation would be appropriate</w:t>
            </w:r>
            <w:r w:rsidR="001B2900">
              <w:rPr>
                <w:rFonts w:ascii="Open Sans" w:hAnsi="Open Sans" w:cs="Open Sans"/>
                <w:b/>
                <w:bCs/>
                <w:sz w:val="20"/>
                <w:szCs w:val="20"/>
                <w:lang w:val="en-US"/>
              </w:rPr>
              <w:t xml:space="preserve"> for EGAs</w:t>
            </w:r>
            <w:r>
              <w:rPr>
                <w:rFonts w:ascii="Open Sans" w:hAnsi="Open Sans" w:cs="Open Sans"/>
                <w:b/>
                <w:bCs/>
                <w:sz w:val="20"/>
                <w:szCs w:val="20"/>
                <w:lang w:val="en-US"/>
              </w:rPr>
              <w:t>.</w:t>
            </w:r>
          </w:p>
          <w:p w14:paraId="583585E6" w14:textId="77777777" w:rsidR="00BA1D5A" w:rsidRDefault="00BA1D5A" w:rsidP="00B62A32">
            <w:pPr>
              <w:rPr>
                <w:rFonts w:ascii="Open Sans" w:hAnsi="Open Sans" w:cs="Open Sans"/>
                <w:b/>
                <w:bCs/>
                <w:sz w:val="20"/>
                <w:szCs w:val="20"/>
                <w:lang w:val="en-US"/>
              </w:rPr>
            </w:pPr>
          </w:p>
          <w:p w14:paraId="174EC5AE" w14:textId="3839F427" w:rsidR="000941AE" w:rsidRPr="00EB6705" w:rsidRDefault="000941AE" w:rsidP="00B62A32">
            <w:pPr>
              <w:rPr>
                <w:rFonts w:ascii="Open Sans" w:hAnsi="Open Sans" w:cs="Open Sans"/>
                <w:b/>
                <w:bCs/>
                <w:sz w:val="20"/>
                <w:szCs w:val="20"/>
                <w:lang w:val="en-US"/>
              </w:rPr>
            </w:pPr>
            <w:r>
              <w:rPr>
                <w:rFonts w:ascii="Open Sans" w:hAnsi="Open Sans" w:cs="Open Sans"/>
                <w:b/>
                <w:bCs/>
                <w:sz w:val="20"/>
                <w:szCs w:val="20"/>
                <w:lang w:val="en-US"/>
              </w:rPr>
              <w:t xml:space="preserve">Also, with respect to gifts and services in kind not recognised, </w:t>
            </w:r>
            <w:r w:rsidR="001B2900">
              <w:rPr>
                <w:rFonts w:ascii="Open Sans" w:hAnsi="Open Sans" w:cs="Open Sans"/>
                <w:b/>
                <w:bCs/>
                <w:sz w:val="20"/>
                <w:szCs w:val="20"/>
                <w:lang w:val="en-US"/>
              </w:rPr>
              <w:t>we consider that</w:t>
            </w:r>
            <w:r>
              <w:rPr>
                <w:rFonts w:ascii="Open Sans" w:hAnsi="Open Sans" w:cs="Open Sans"/>
                <w:b/>
                <w:bCs/>
                <w:sz w:val="20"/>
                <w:szCs w:val="20"/>
                <w:lang w:val="en-US"/>
              </w:rPr>
              <w:t xml:space="preserve"> it be more beneficial to users of the financial statements to have a narrative disclosure as to the types and quantum of donations in kind not recognised, rather than an estimated value</w:t>
            </w:r>
            <w:r w:rsidR="001B2900">
              <w:rPr>
                <w:rFonts w:ascii="Open Sans" w:hAnsi="Open Sans" w:cs="Open Sans"/>
                <w:b/>
                <w:bCs/>
                <w:sz w:val="20"/>
                <w:szCs w:val="20"/>
                <w:lang w:val="en-US"/>
              </w:rPr>
              <w:t>.</w:t>
            </w:r>
            <w:r>
              <w:rPr>
                <w:rFonts w:ascii="Open Sans" w:hAnsi="Open Sans" w:cs="Open Sans"/>
                <w:b/>
                <w:bCs/>
                <w:sz w:val="20"/>
                <w:szCs w:val="20"/>
                <w:lang w:val="en-US"/>
              </w:rPr>
              <w:t xml:space="preserve"> Encouraging NPOs to </w:t>
            </w:r>
            <w:r w:rsidR="001B2900">
              <w:rPr>
                <w:rFonts w:ascii="Open Sans" w:hAnsi="Open Sans" w:cs="Open Sans"/>
                <w:b/>
                <w:bCs/>
                <w:sz w:val="20"/>
                <w:szCs w:val="20"/>
                <w:lang w:val="en-US"/>
              </w:rPr>
              <w:t>determine a</w:t>
            </w:r>
            <w:r w:rsidR="00BA1D5A">
              <w:rPr>
                <w:rFonts w:ascii="Open Sans" w:hAnsi="Open Sans" w:cs="Open Sans"/>
                <w:b/>
                <w:bCs/>
                <w:sz w:val="20"/>
                <w:szCs w:val="20"/>
                <w:lang w:val="en-US"/>
              </w:rPr>
              <w:t>n estimated</w:t>
            </w:r>
            <w:r>
              <w:rPr>
                <w:rFonts w:ascii="Open Sans" w:hAnsi="Open Sans" w:cs="Open Sans"/>
                <w:b/>
                <w:bCs/>
                <w:sz w:val="20"/>
                <w:szCs w:val="20"/>
                <w:lang w:val="en-US"/>
              </w:rPr>
              <w:t xml:space="preserve"> </w:t>
            </w:r>
            <w:r w:rsidR="00BA1D5A">
              <w:rPr>
                <w:rFonts w:ascii="Open Sans" w:hAnsi="Open Sans" w:cs="Open Sans"/>
                <w:b/>
                <w:bCs/>
                <w:sz w:val="20"/>
                <w:szCs w:val="20"/>
                <w:lang w:val="en-US"/>
              </w:rPr>
              <w:t xml:space="preserve">fair </w:t>
            </w:r>
            <w:r>
              <w:rPr>
                <w:rFonts w:ascii="Open Sans" w:hAnsi="Open Sans" w:cs="Open Sans"/>
                <w:b/>
                <w:bCs/>
                <w:sz w:val="20"/>
                <w:szCs w:val="20"/>
                <w:lang w:val="en-US"/>
              </w:rPr>
              <w:t xml:space="preserve">value may </w:t>
            </w:r>
            <w:proofErr w:type="gramStart"/>
            <w:r>
              <w:rPr>
                <w:rFonts w:ascii="Open Sans" w:hAnsi="Open Sans" w:cs="Open Sans"/>
                <w:b/>
                <w:bCs/>
                <w:sz w:val="20"/>
                <w:szCs w:val="20"/>
                <w:lang w:val="en-US"/>
              </w:rPr>
              <w:t>actually discourage</w:t>
            </w:r>
            <w:proofErr w:type="gramEnd"/>
            <w:r>
              <w:rPr>
                <w:rFonts w:ascii="Open Sans" w:hAnsi="Open Sans" w:cs="Open Sans"/>
                <w:b/>
                <w:bCs/>
                <w:sz w:val="20"/>
                <w:szCs w:val="20"/>
                <w:lang w:val="en-US"/>
              </w:rPr>
              <w:t xml:space="preserve"> them from making the disclosure rather than encouraging the disclosure of readily available information. </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4C96693" w14:textId="6D6CAF1C" w:rsidR="009635D3" w:rsidRDefault="009635D3" w:rsidP="00B62A32">
            <w:pPr>
              <w:rPr>
                <w:rFonts w:ascii="Open Sans" w:hAnsi="Open Sans" w:cs="Open Sans"/>
                <w:b/>
                <w:bCs/>
                <w:sz w:val="20"/>
                <w:szCs w:val="20"/>
                <w:lang w:val="en-US"/>
              </w:rPr>
            </w:pPr>
            <w:r>
              <w:rPr>
                <w:rFonts w:ascii="Open Sans" w:hAnsi="Open Sans" w:cs="Open Sans"/>
                <w:b/>
                <w:bCs/>
                <w:sz w:val="20"/>
                <w:szCs w:val="20"/>
                <w:lang w:val="en-US"/>
              </w:rPr>
              <w:t>Whilst it is appreciated that the authors of INPAG have attempted to avoid duplication between part 1 and part 2, it does make it very confusing to read and apply due to having</w:t>
            </w:r>
            <w:r w:rsidR="0072417A">
              <w:rPr>
                <w:rFonts w:ascii="Open Sans" w:hAnsi="Open Sans" w:cs="Open Sans"/>
                <w:b/>
                <w:bCs/>
                <w:sz w:val="20"/>
                <w:szCs w:val="20"/>
                <w:lang w:val="en-US"/>
              </w:rPr>
              <w:t xml:space="preserve"> to</w:t>
            </w:r>
            <w:r>
              <w:rPr>
                <w:rFonts w:ascii="Open Sans" w:hAnsi="Open Sans" w:cs="Open Sans"/>
                <w:b/>
                <w:bCs/>
                <w:sz w:val="20"/>
                <w:szCs w:val="20"/>
                <w:lang w:val="en-US"/>
              </w:rPr>
              <w:t xml:space="preserve"> keep referring to both parts </w:t>
            </w:r>
            <w:r w:rsidR="00180B89">
              <w:rPr>
                <w:rFonts w:ascii="Open Sans" w:hAnsi="Open Sans" w:cs="Open Sans"/>
                <w:b/>
                <w:bCs/>
                <w:sz w:val="20"/>
                <w:szCs w:val="20"/>
                <w:lang w:val="en-US"/>
              </w:rPr>
              <w:t>for a</w:t>
            </w:r>
            <w:r>
              <w:rPr>
                <w:rFonts w:ascii="Open Sans" w:hAnsi="Open Sans" w:cs="Open Sans"/>
                <w:b/>
                <w:bCs/>
                <w:sz w:val="20"/>
                <w:szCs w:val="20"/>
                <w:lang w:val="en-US"/>
              </w:rPr>
              <w:t xml:space="preserve"> section. In the preface (G23.4-G23.7) where it explains which scenarios each of the sections should be used</w:t>
            </w:r>
            <w:r w:rsidR="002F0537">
              <w:rPr>
                <w:rFonts w:ascii="Open Sans" w:hAnsi="Open Sans" w:cs="Open Sans"/>
                <w:b/>
                <w:bCs/>
                <w:sz w:val="20"/>
                <w:szCs w:val="20"/>
                <w:lang w:val="en-US"/>
              </w:rPr>
              <w:t xml:space="preserve"> for</w:t>
            </w:r>
            <w:r>
              <w:rPr>
                <w:rFonts w:ascii="Open Sans" w:hAnsi="Open Sans" w:cs="Open Sans"/>
                <w:b/>
                <w:bCs/>
                <w:sz w:val="20"/>
                <w:szCs w:val="20"/>
                <w:lang w:val="en-US"/>
              </w:rPr>
              <w:t xml:space="preserve">, this is not referred to, although it is </w:t>
            </w:r>
            <w:proofErr w:type="gramStart"/>
            <w:r w:rsidR="002F0537">
              <w:rPr>
                <w:rFonts w:ascii="Open Sans" w:hAnsi="Open Sans" w:cs="Open Sans"/>
                <w:b/>
                <w:bCs/>
                <w:sz w:val="20"/>
                <w:szCs w:val="20"/>
                <w:lang w:val="en-US"/>
              </w:rPr>
              <w:t>later on</w:t>
            </w:r>
            <w:proofErr w:type="gramEnd"/>
            <w:r>
              <w:rPr>
                <w:rFonts w:ascii="Open Sans" w:hAnsi="Open Sans" w:cs="Open Sans"/>
                <w:b/>
                <w:bCs/>
                <w:sz w:val="20"/>
                <w:szCs w:val="20"/>
                <w:lang w:val="en-US"/>
              </w:rPr>
              <w:t xml:space="preserve"> (G23.11). </w:t>
            </w:r>
            <w:r w:rsidR="0090535E">
              <w:rPr>
                <w:rFonts w:ascii="Open Sans" w:hAnsi="Open Sans" w:cs="Open Sans"/>
                <w:b/>
                <w:bCs/>
                <w:sz w:val="20"/>
                <w:szCs w:val="20"/>
                <w:lang w:val="en-US"/>
              </w:rPr>
              <w:t xml:space="preserve">There is a risk that these elements of the standard are not appropriately applied as a result. </w:t>
            </w:r>
          </w:p>
          <w:p w14:paraId="333BC35E" w14:textId="77777777" w:rsidR="00BA1D5A" w:rsidRDefault="00BA1D5A" w:rsidP="00B62A32">
            <w:pPr>
              <w:rPr>
                <w:rFonts w:ascii="Open Sans" w:hAnsi="Open Sans" w:cs="Open Sans"/>
                <w:b/>
                <w:bCs/>
                <w:sz w:val="20"/>
                <w:szCs w:val="20"/>
                <w:lang w:val="en-US"/>
              </w:rPr>
            </w:pPr>
          </w:p>
          <w:p w14:paraId="277154D7" w14:textId="183C0E10" w:rsidR="0090535E" w:rsidRDefault="002F0537" w:rsidP="00B62A32">
            <w:pPr>
              <w:rPr>
                <w:rFonts w:ascii="Open Sans" w:hAnsi="Open Sans" w:cs="Open Sans"/>
                <w:b/>
                <w:bCs/>
                <w:sz w:val="20"/>
                <w:szCs w:val="20"/>
                <w:lang w:val="en-US"/>
              </w:rPr>
            </w:pPr>
            <w:r>
              <w:rPr>
                <w:rFonts w:ascii="Open Sans" w:hAnsi="Open Sans" w:cs="Open Sans"/>
                <w:b/>
                <w:bCs/>
                <w:sz w:val="20"/>
                <w:szCs w:val="20"/>
                <w:lang w:val="en-US"/>
              </w:rPr>
              <w:t>In addition</w:t>
            </w:r>
            <w:r w:rsidR="0090535E">
              <w:rPr>
                <w:rFonts w:ascii="Open Sans" w:hAnsi="Open Sans" w:cs="Open Sans"/>
                <w:b/>
                <w:bCs/>
                <w:sz w:val="20"/>
                <w:szCs w:val="20"/>
                <w:lang w:val="en-US"/>
              </w:rPr>
              <w:t xml:space="preserve">, there are some elements that are only covered in part 2 of the section that are not only relevant for complex grants. For example, whether EGOs are satisfied over time or at a point in time is a consideration that should </w:t>
            </w:r>
            <w:r w:rsidR="0090535E">
              <w:rPr>
                <w:rFonts w:ascii="Open Sans" w:hAnsi="Open Sans" w:cs="Open Sans"/>
                <w:b/>
                <w:bCs/>
                <w:sz w:val="20"/>
                <w:szCs w:val="20"/>
                <w:lang w:val="en-US"/>
              </w:rPr>
              <w:lastRenderedPageBreak/>
              <w:t>be made for every grant and therefore, this guidance should</w:t>
            </w:r>
            <w:r>
              <w:rPr>
                <w:rFonts w:ascii="Open Sans" w:hAnsi="Open Sans" w:cs="Open Sans"/>
                <w:b/>
                <w:bCs/>
                <w:sz w:val="20"/>
                <w:szCs w:val="20"/>
                <w:lang w:val="en-US"/>
              </w:rPr>
              <w:t xml:space="preserve"> also</w:t>
            </w:r>
            <w:r w:rsidR="0090535E">
              <w:rPr>
                <w:rFonts w:ascii="Open Sans" w:hAnsi="Open Sans" w:cs="Open Sans"/>
                <w:b/>
                <w:bCs/>
                <w:sz w:val="20"/>
                <w:szCs w:val="20"/>
                <w:lang w:val="en-US"/>
              </w:rPr>
              <w:t xml:space="preserve"> be included in part 1. </w:t>
            </w:r>
          </w:p>
          <w:p w14:paraId="44DADD50" w14:textId="77777777" w:rsidR="00BA1D5A" w:rsidRDefault="00BA1D5A" w:rsidP="00B62A32">
            <w:pPr>
              <w:rPr>
                <w:rFonts w:ascii="Open Sans" w:hAnsi="Open Sans" w:cs="Open Sans"/>
                <w:b/>
                <w:bCs/>
                <w:sz w:val="20"/>
                <w:szCs w:val="20"/>
                <w:lang w:val="en-US"/>
              </w:rPr>
            </w:pPr>
          </w:p>
          <w:p w14:paraId="5A3DB5AD" w14:textId="1592B0EC" w:rsidR="0090535E" w:rsidRPr="00EB6705" w:rsidRDefault="0090535E" w:rsidP="00B62A32">
            <w:pPr>
              <w:rPr>
                <w:rFonts w:ascii="Open Sans" w:hAnsi="Open Sans" w:cs="Open Sans"/>
                <w:b/>
                <w:bCs/>
                <w:sz w:val="20"/>
                <w:szCs w:val="20"/>
                <w:lang w:val="en-US"/>
              </w:rPr>
            </w:pPr>
            <w:r>
              <w:rPr>
                <w:rFonts w:ascii="Open Sans" w:hAnsi="Open Sans" w:cs="Open Sans"/>
                <w:b/>
                <w:bCs/>
                <w:sz w:val="20"/>
                <w:szCs w:val="20"/>
                <w:lang w:val="en-US"/>
              </w:rPr>
              <w:t xml:space="preserve">Overall, the way that the parts have been written to avoid duplication causes confusion for the user in </w:t>
            </w:r>
            <w:r w:rsidR="00534C10">
              <w:rPr>
                <w:rFonts w:ascii="Open Sans" w:hAnsi="Open Sans" w:cs="Open Sans"/>
                <w:b/>
                <w:bCs/>
                <w:sz w:val="20"/>
                <w:szCs w:val="20"/>
                <w:lang w:val="en-US"/>
              </w:rPr>
              <w:t xml:space="preserve">determining </w:t>
            </w:r>
            <w:r>
              <w:rPr>
                <w:rFonts w:ascii="Open Sans" w:hAnsi="Open Sans" w:cs="Open Sans"/>
                <w:b/>
                <w:bCs/>
                <w:sz w:val="20"/>
                <w:szCs w:val="20"/>
                <w:lang w:val="en-US"/>
              </w:rPr>
              <w:t>wh</w:t>
            </w:r>
            <w:r w:rsidR="002F0537">
              <w:rPr>
                <w:rFonts w:ascii="Open Sans" w:hAnsi="Open Sans" w:cs="Open Sans"/>
                <w:b/>
                <w:bCs/>
                <w:sz w:val="20"/>
                <w:szCs w:val="20"/>
                <w:lang w:val="en-US"/>
              </w:rPr>
              <w:t>ich</w:t>
            </w:r>
            <w:r>
              <w:rPr>
                <w:rFonts w:ascii="Open Sans" w:hAnsi="Open Sans" w:cs="Open Sans"/>
                <w:b/>
                <w:bCs/>
                <w:sz w:val="20"/>
                <w:szCs w:val="20"/>
                <w:lang w:val="en-US"/>
              </w:rPr>
              <w:t xml:space="preserve"> elements they should be considering and applying. </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Do you have </w:t>
            </w:r>
            <w:r w:rsidRPr="001527D4">
              <w:rPr>
                <w:rFonts w:ascii="Open Sans" w:hAnsi="Open Sans" w:cs="Open Sans"/>
                <w:sz w:val="20"/>
                <w:szCs w:val="20"/>
              </w:rPr>
              <w:t>any other comments on the proposals in Section</w:t>
            </w:r>
            <w:r>
              <w:rPr>
                <w:rFonts w:ascii="Open Sans" w:hAnsi="Open Sans" w:cs="Open Sans"/>
                <w:sz w:val="20"/>
                <w:szCs w:val="20"/>
              </w:rPr>
              <w:t xml:space="preserve">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1F5F9E54" w14:textId="464AE4B8" w:rsidR="00B62A32" w:rsidRDefault="009635D3" w:rsidP="00B62A32">
            <w:pPr>
              <w:rPr>
                <w:rFonts w:ascii="Open Sans" w:hAnsi="Open Sans" w:cs="Open Sans"/>
                <w:b/>
                <w:bCs/>
                <w:sz w:val="20"/>
                <w:szCs w:val="20"/>
                <w:lang w:val="en-US"/>
              </w:rPr>
            </w:pPr>
            <w:r>
              <w:rPr>
                <w:rFonts w:ascii="Open Sans" w:hAnsi="Open Sans" w:cs="Open Sans"/>
                <w:b/>
                <w:bCs/>
                <w:sz w:val="20"/>
                <w:szCs w:val="20"/>
                <w:lang w:val="en-US"/>
              </w:rPr>
              <w:t xml:space="preserve">It is appropriate for the IFRS for SMEs standard to be included to or referred to in INPAG, as there are </w:t>
            </w:r>
            <w:proofErr w:type="gramStart"/>
            <w:r>
              <w:rPr>
                <w:rFonts w:ascii="Open Sans" w:hAnsi="Open Sans" w:cs="Open Sans"/>
                <w:b/>
                <w:bCs/>
                <w:sz w:val="20"/>
                <w:szCs w:val="20"/>
                <w:lang w:val="en-US"/>
              </w:rPr>
              <w:t>a number of</w:t>
            </w:r>
            <w:proofErr w:type="gramEnd"/>
            <w:r>
              <w:rPr>
                <w:rFonts w:ascii="Open Sans" w:hAnsi="Open Sans" w:cs="Open Sans"/>
                <w:b/>
                <w:bCs/>
                <w:sz w:val="20"/>
                <w:szCs w:val="20"/>
                <w:lang w:val="en-US"/>
              </w:rPr>
              <w:t xml:space="preserve"> NPOs who also enter into revenue contracts with customers as part of their activities, and this standard should therefore be applied. </w:t>
            </w:r>
          </w:p>
          <w:p w14:paraId="2ABA7570" w14:textId="77777777" w:rsidR="00BA1D5A" w:rsidRDefault="00BA1D5A" w:rsidP="00B62A32">
            <w:pPr>
              <w:rPr>
                <w:rFonts w:ascii="Open Sans" w:hAnsi="Open Sans" w:cs="Open Sans"/>
                <w:b/>
                <w:bCs/>
                <w:sz w:val="20"/>
                <w:szCs w:val="20"/>
                <w:lang w:val="en-US"/>
              </w:rPr>
            </w:pPr>
          </w:p>
          <w:p w14:paraId="6CD70B47" w14:textId="10D88C38" w:rsidR="00487BFC" w:rsidRDefault="00487BFC" w:rsidP="00B62A32">
            <w:pPr>
              <w:rPr>
                <w:rFonts w:ascii="Open Sans" w:hAnsi="Open Sans" w:cs="Open Sans"/>
                <w:b/>
                <w:bCs/>
                <w:sz w:val="20"/>
                <w:szCs w:val="20"/>
                <w:lang w:val="en-US"/>
              </w:rPr>
            </w:pPr>
            <w:r>
              <w:rPr>
                <w:rFonts w:ascii="Open Sans" w:hAnsi="Open Sans" w:cs="Open Sans"/>
                <w:b/>
                <w:bCs/>
                <w:sz w:val="20"/>
                <w:szCs w:val="20"/>
                <w:lang w:val="en-US"/>
              </w:rPr>
              <w:t xml:space="preserve">Our comments on other areas include: </w:t>
            </w:r>
          </w:p>
          <w:p w14:paraId="621FC2AC" w14:textId="172262D6" w:rsidR="00487BFC" w:rsidRDefault="00BC00E7" w:rsidP="00487BFC">
            <w:pPr>
              <w:pStyle w:val="ListParagraph"/>
              <w:numPr>
                <w:ilvl w:val="0"/>
                <w:numId w:val="17"/>
              </w:numPr>
              <w:rPr>
                <w:rFonts w:ascii="Open Sans" w:hAnsi="Open Sans" w:cs="Open Sans"/>
                <w:b/>
                <w:bCs/>
                <w:sz w:val="20"/>
                <w:szCs w:val="20"/>
                <w:lang w:val="en-US"/>
              </w:rPr>
            </w:pPr>
            <w:r w:rsidRPr="00487BFC">
              <w:rPr>
                <w:rFonts w:ascii="Open Sans" w:hAnsi="Open Sans" w:cs="Open Sans"/>
                <w:b/>
                <w:bCs/>
                <w:sz w:val="20"/>
                <w:szCs w:val="20"/>
                <w:lang w:val="en-US"/>
              </w:rPr>
              <w:t xml:space="preserve">Paragraph G23.42-G23.43 – This provides separate analysis where there is only one EGO in a grant agreement. Whilst we appreciate that this has been included to provide simplicity for users, it may be over simplified. For example, </w:t>
            </w:r>
            <w:r w:rsidR="00534C10">
              <w:rPr>
                <w:rFonts w:ascii="Open Sans" w:hAnsi="Open Sans" w:cs="Open Sans"/>
                <w:b/>
                <w:bCs/>
                <w:sz w:val="20"/>
                <w:szCs w:val="20"/>
                <w:lang w:val="en-US"/>
              </w:rPr>
              <w:t>in</w:t>
            </w:r>
            <w:r w:rsidR="00534C10" w:rsidRPr="00487BFC">
              <w:rPr>
                <w:rFonts w:ascii="Open Sans" w:hAnsi="Open Sans" w:cs="Open Sans"/>
                <w:b/>
                <w:bCs/>
                <w:sz w:val="20"/>
                <w:szCs w:val="20"/>
                <w:lang w:val="en-US"/>
              </w:rPr>
              <w:t xml:space="preserve"> </w:t>
            </w:r>
            <w:r w:rsidRPr="00487BFC">
              <w:rPr>
                <w:rFonts w:ascii="Open Sans" w:hAnsi="Open Sans" w:cs="Open Sans"/>
                <w:b/>
                <w:bCs/>
                <w:sz w:val="20"/>
                <w:szCs w:val="20"/>
                <w:lang w:val="en-US"/>
              </w:rPr>
              <w:t xml:space="preserve">step 2 of identifying the EGO, </w:t>
            </w:r>
            <w:r w:rsidR="00534C10">
              <w:rPr>
                <w:rFonts w:ascii="Open Sans" w:hAnsi="Open Sans" w:cs="Open Sans"/>
                <w:b/>
                <w:bCs/>
                <w:sz w:val="20"/>
                <w:szCs w:val="20"/>
                <w:lang w:val="en-US"/>
              </w:rPr>
              <w:t>there is</w:t>
            </w:r>
            <w:r w:rsidRPr="00487BFC">
              <w:rPr>
                <w:rFonts w:ascii="Open Sans" w:hAnsi="Open Sans" w:cs="Open Sans"/>
                <w:b/>
                <w:bCs/>
                <w:sz w:val="20"/>
                <w:szCs w:val="20"/>
                <w:lang w:val="en-US"/>
              </w:rPr>
              <w:t xml:space="preserve"> comment that detailed analysis may not be required. However, analysis should be performed to ensure that there is only one EGO included in the agreement. This step should not be skipped </w:t>
            </w:r>
            <w:r w:rsidR="00BA1D5A">
              <w:rPr>
                <w:rFonts w:ascii="Open Sans" w:hAnsi="Open Sans" w:cs="Open Sans"/>
                <w:b/>
                <w:bCs/>
                <w:sz w:val="20"/>
                <w:szCs w:val="20"/>
                <w:lang w:val="en-US"/>
              </w:rPr>
              <w:t xml:space="preserve">just </w:t>
            </w:r>
            <w:r w:rsidRPr="00487BFC">
              <w:rPr>
                <w:rFonts w:ascii="Open Sans" w:hAnsi="Open Sans" w:cs="Open Sans"/>
                <w:b/>
                <w:bCs/>
                <w:sz w:val="20"/>
                <w:szCs w:val="20"/>
                <w:lang w:val="en-US"/>
              </w:rPr>
              <w:t xml:space="preserve">because </w:t>
            </w:r>
            <w:r w:rsidR="00BA1D5A">
              <w:rPr>
                <w:rFonts w:ascii="Open Sans" w:hAnsi="Open Sans" w:cs="Open Sans"/>
                <w:b/>
                <w:bCs/>
                <w:sz w:val="20"/>
                <w:szCs w:val="20"/>
                <w:lang w:val="en-US"/>
              </w:rPr>
              <w:t xml:space="preserve">it is </w:t>
            </w:r>
            <w:r w:rsidRPr="00487BFC">
              <w:rPr>
                <w:rFonts w:ascii="Open Sans" w:hAnsi="Open Sans" w:cs="Open Sans"/>
                <w:b/>
                <w:bCs/>
                <w:sz w:val="20"/>
                <w:szCs w:val="20"/>
                <w:lang w:val="en-US"/>
              </w:rPr>
              <w:t xml:space="preserve">the </w:t>
            </w:r>
            <w:r w:rsidR="00487BFC" w:rsidRPr="00487BFC">
              <w:rPr>
                <w:rFonts w:ascii="Open Sans" w:hAnsi="Open Sans" w:cs="Open Sans"/>
                <w:b/>
                <w:bCs/>
                <w:sz w:val="20"/>
                <w:szCs w:val="20"/>
                <w:lang w:val="en-US"/>
              </w:rPr>
              <w:t>NPO</w:t>
            </w:r>
            <w:r w:rsidR="00534C10">
              <w:rPr>
                <w:rFonts w:ascii="Open Sans" w:hAnsi="Open Sans" w:cs="Open Sans"/>
                <w:b/>
                <w:bCs/>
                <w:sz w:val="20"/>
                <w:szCs w:val="20"/>
                <w:lang w:val="en-US"/>
              </w:rPr>
              <w:t>’</w:t>
            </w:r>
            <w:r w:rsidR="00487BFC" w:rsidRPr="00487BFC">
              <w:rPr>
                <w:rFonts w:ascii="Open Sans" w:hAnsi="Open Sans" w:cs="Open Sans"/>
                <w:b/>
                <w:bCs/>
                <w:sz w:val="20"/>
                <w:szCs w:val="20"/>
                <w:lang w:val="en-US"/>
              </w:rPr>
              <w:t xml:space="preserve">s understanding that only one NPO exists. </w:t>
            </w:r>
          </w:p>
          <w:p w14:paraId="511987A0" w14:textId="44424F31" w:rsidR="009635D3" w:rsidRDefault="00487BFC" w:rsidP="00487BFC">
            <w:pPr>
              <w:pStyle w:val="ListParagraph"/>
              <w:rPr>
                <w:rFonts w:ascii="Open Sans" w:hAnsi="Open Sans" w:cs="Open Sans"/>
                <w:b/>
                <w:bCs/>
                <w:sz w:val="20"/>
                <w:szCs w:val="20"/>
                <w:lang w:val="en-US"/>
              </w:rPr>
            </w:pPr>
            <w:r w:rsidRPr="00487BFC">
              <w:rPr>
                <w:rFonts w:ascii="Open Sans" w:hAnsi="Open Sans" w:cs="Open Sans"/>
                <w:b/>
                <w:bCs/>
                <w:sz w:val="20"/>
                <w:szCs w:val="20"/>
                <w:lang w:val="en-US"/>
              </w:rPr>
              <w:t xml:space="preserve">Equally for step 3 it states no analysis is required as </w:t>
            </w:r>
            <w:r w:rsidR="00534C10">
              <w:rPr>
                <w:rFonts w:ascii="Open Sans" w:hAnsi="Open Sans" w:cs="Open Sans"/>
                <w:b/>
                <w:bCs/>
                <w:sz w:val="20"/>
                <w:szCs w:val="20"/>
                <w:lang w:val="en-US"/>
              </w:rPr>
              <w:t>the transaction amount is</w:t>
            </w:r>
            <w:r w:rsidRPr="00487BFC">
              <w:rPr>
                <w:rFonts w:ascii="Open Sans" w:hAnsi="Open Sans" w:cs="Open Sans"/>
                <w:b/>
                <w:bCs/>
                <w:sz w:val="20"/>
                <w:szCs w:val="20"/>
                <w:lang w:val="en-US"/>
              </w:rPr>
              <w:t xml:space="preserve"> the total amount of the grant.</w:t>
            </w:r>
            <w:r>
              <w:rPr>
                <w:rFonts w:ascii="Open Sans" w:hAnsi="Open Sans" w:cs="Open Sans"/>
                <w:b/>
                <w:bCs/>
                <w:sz w:val="20"/>
                <w:szCs w:val="20"/>
                <w:lang w:val="en-US"/>
              </w:rPr>
              <w:t xml:space="preserve"> However, this single EGO grant agreement could still include variable consideration and so this step </w:t>
            </w:r>
            <w:r>
              <w:rPr>
                <w:rFonts w:ascii="Open Sans" w:hAnsi="Open Sans" w:cs="Open Sans"/>
                <w:b/>
                <w:bCs/>
                <w:sz w:val="20"/>
                <w:szCs w:val="20"/>
                <w:lang w:val="en-US"/>
              </w:rPr>
              <w:lastRenderedPageBreak/>
              <w:t xml:space="preserve">should still be </w:t>
            </w:r>
            <w:proofErr w:type="gramStart"/>
            <w:r>
              <w:rPr>
                <w:rFonts w:ascii="Open Sans" w:hAnsi="Open Sans" w:cs="Open Sans"/>
                <w:b/>
                <w:bCs/>
                <w:sz w:val="20"/>
                <w:szCs w:val="20"/>
                <w:lang w:val="en-US"/>
              </w:rPr>
              <w:t>performed</w:t>
            </w:r>
            <w:proofErr w:type="gramEnd"/>
            <w:r>
              <w:rPr>
                <w:rFonts w:ascii="Open Sans" w:hAnsi="Open Sans" w:cs="Open Sans"/>
                <w:b/>
                <w:bCs/>
                <w:sz w:val="20"/>
                <w:szCs w:val="20"/>
                <w:lang w:val="en-US"/>
              </w:rPr>
              <w:t xml:space="preserve"> to ensure the grant is</w:t>
            </w:r>
            <w:r w:rsidR="00E457F1">
              <w:rPr>
                <w:rFonts w:ascii="Open Sans" w:hAnsi="Open Sans" w:cs="Open Sans"/>
                <w:b/>
                <w:bCs/>
                <w:sz w:val="20"/>
                <w:szCs w:val="20"/>
                <w:lang w:val="en-US"/>
              </w:rPr>
              <w:t xml:space="preserve"> recognised at a</w:t>
            </w:r>
            <w:r w:rsidR="00BA1D5A">
              <w:rPr>
                <w:rFonts w:ascii="Open Sans" w:hAnsi="Open Sans" w:cs="Open Sans"/>
                <w:b/>
                <w:bCs/>
                <w:sz w:val="20"/>
                <w:szCs w:val="20"/>
                <w:lang w:val="en-US"/>
              </w:rPr>
              <w:t xml:space="preserve">n </w:t>
            </w:r>
            <w:r>
              <w:rPr>
                <w:rFonts w:ascii="Open Sans" w:hAnsi="Open Sans" w:cs="Open Sans"/>
                <w:b/>
                <w:bCs/>
                <w:sz w:val="20"/>
                <w:szCs w:val="20"/>
                <w:lang w:val="en-US"/>
              </w:rPr>
              <w:t>appropriate</w:t>
            </w:r>
            <w:r w:rsidR="00E457F1">
              <w:rPr>
                <w:rFonts w:ascii="Open Sans" w:hAnsi="Open Sans" w:cs="Open Sans"/>
                <w:b/>
                <w:bCs/>
                <w:sz w:val="20"/>
                <w:szCs w:val="20"/>
                <w:lang w:val="en-US"/>
              </w:rPr>
              <w:t xml:space="preserve"> amount</w:t>
            </w:r>
            <w:r>
              <w:rPr>
                <w:rFonts w:ascii="Open Sans" w:hAnsi="Open Sans" w:cs="Open Sans"/>
                <w:b/>
                <w:bCs/>
                <w:sz w:val="20"/>
                <w:szCs w:val="20"/>
                <w:lang w:val="en-US"/>
              </w:rPr>
              <w:t xml:space="preserve">. </w:t>
            </w:r>
          </w:p>
          <w:p w14:paraId="55003CF1" w14:textId="54736DD6" w:rsidR="00487BFC" w:rsidRDefault="00487BFC" w:rsidP="00487BFC">
            <w:pPr>
              <w:pStyle w:val="ListParagraph"/>
              <w:rPr>
                <w:rFonts w:ascii="Open Sans" w:hAnsi="Open Sans" w:cs="Open Sans"/>
                <w:b/>
                <w:bCs/>
                <w:sz w:val="20"/>
                <w:szCs w:val="20"/>
                <w:lang w:val="en-US"/>
              </w:rPr>
            </w:pPr>
            <w:r>
              <w:rPr>
                <w:rFonts w:ascii="Open Sans" w:hAnsi="Open Sans" w:cs="Open Sans"/>
                <w:b/>
                <w:bCs/>
                <w:sz w:val="20"/>
                <w:szCs w:val="20"/>
                <w:lang w:val="en-US"/>
              </w:rPr>
              <w:t xml:space="preserve">Therefore, our recommendation is that this simplified step is not included and NPOs are encouraged to go through each of the five steps for every EGA. </w:t>
            </w:r>
          </w:p>
          <w:p w14:paraId="0E5461EC" w14:textId="77777777" w:rsidR="00BA1D5A" w:rsidRDefault="00BA1D5A" w:rsidP="00487BFC">
            <w:pPr>
              <w:pStyle w:val="ListParagraph"/>
              <w:rPr>
                <w:rFonts w:ascii="Open Sans" w:hAnsi="Open Sans" w:cs="Open Sans"/>
                <w:b/>
                <w:bCs/>
                <w:sz w:val="20"/>
                <w:szCs w:val="20"/>
                <w:lang w:val="en-US"/>
              </w:rPr>
            </w:pPr>
          </w:p>
          <w:p w14:paraId="647E7592" w14:textId="73A6E3A3" w:rsidR="00487BFC" w:rsidRDefault="00093D24" w:rsidP="00487BFC">
            <w:pPr>
              <w:pStyle w:val="ListParagraph"/>
              <w:numPr>
                <w:ilvl w:val="0"/>
                <w:numId w:val="17"/>
              </w:numPr>
              <w:rPr>
                <w:rFonts w:ascii="Open Sans" w:hAnsi="Open Sans" w:cs="Open Sans"/>
                <w:b/>
                <w:bCs/>
                <w:sz w:val="20"/>
                <w:szCs w:val="20"/>
                <w:lang w:val="en-US"/>
              </w:rPr>
            </w:pPr>
            <w:r>
              <w:rPr>
                <w:rFonts w:ascii="Open Sans" w:hAnsi="Open Sans" w:cs="Open Sans"/>
                <w:b/>
                <w:bCs/>
                <w:sz w:val="20"/>
                <w:szCs w:val="20"/>
                <w:lang w:val="en-US"/>
              </w:rPr>
              <w:t xml:space="preserve">Paragraph G23.50 – </w:t>
            </w:r>
            <w:r w:rsidR="00487BFC">
              <w:rPr>
                <w:rFonts w:ascii="Open Sans" w:hAnsi="Open Sans" w:cs="Open Sans"/>
                <w:b/>
                <w:bCs/>
                <w:sz w:val="20"/>
                <w:szCs w:val="20"/>
                <w:lang w:val="en-US"/>
              </w:rPr>
              <w:t>For an EGO to be separa</w:t>
            </w:r>
            <w:r w:rsidR="00E457F1">
              <w:rPr>
                <w:rFonts w:ascii="Open Sans" w:hAnsi="Open Sans" w:cs="Open Sans"/>
                <w:b/>
                <w:bCs/>
                <w:sz w:val="20"/>
                <w:szCs w:val="20"/>
                <w:lang w:val="en-US"/>
              </w:rPr>
              <w:t>tely</w:t>
            </w:r>
            <w:r w:rsidR="00487BFC">
              <w:rPr>
                <w:rFonts w:ascii="Open Sans" w:hAnsi="Open Sans" w:cs="Open Sans"/>
                <w:b/>
                <w:bCs/>
                <w:sz w:val="20"/>
                <w:szCs w:val="20"/>
                <w:lang w:val="en-US"/>
              </w:rPr>
              <w:t xml:space="preserve"> accounted for, it </w:t>
            </w:r>
            <w:proofErr w:type="gramStart"/>
            <w:r w:rsidR="00487BFC">
              <w:rPr>
                <w:rFonts w:ascii="Open Sans" w:hAnsi="Open Sans" w:cs="Open Sans"/>
                <w:b/>
                <w:bCs/>
                <w:sz w:val="20"/>
                <w:szCs w:val="20"/>
                <w:lang w:val="en-US"/>
              </w:rPr>
              <w:t>has to</w:t>
            </w:r>
            <w:proofErr w:type="gramEnd"/>
            <w:r w:rsidR="00487BFC">
              <w:rPr>
                <w:rFonts w:ascii="Open Sans" w:hAnsi="Open Sans" w:cs="Open Sans"/>
                <w:b/>
                <w:bCs/>
                <w:sz w:val="20"/>
                <w:szCs w:val="20"/>
                <w:lang w:val="en-US"/>
              </w:rPr>
              <w:t xml:space="preserve"> meet the following conditions: </w:t>
            </w:r>
          </w:p>
          <w:p w14:paraId="2B5C71B5" w14:textId="14EF3DB5" w:rsidR="00487BFC" w:rsidRDefault="00487BFC" w:rsidP="00487BFC">
            <w:pPr>
              <w:pStyle w:val="ListParagraph"/>
              <w:numPr>
                <w:ilvl w:val="1"/>
                <w:numId w:val="17"/>
              </w:numPr>
              <w:rPr>
                <w:rFonts w:ascii="Open Sans" w:hAnsi="Open Sans" w:cs="Open Sans"/>
                <w:b/>
                <w:bCs/>
                <w:sz w:val="20"/>
                <w:szCs w:val="20"/>
                <w:lang w:val="en-US"/>
              </w:rPr>
            </w:pPr>
            <w:r>
              <w:rPr>
                <w:rFonts w:ascii="Open Sans" w:hAnsi="Open Sans" w:cs="Open Sans"/>
                <w:b/>
                <w:bCs/>
                <w:sz w:val="20"/>
                <w:szCs w:val="20"/>
                <w:lang w:val="en-US"/>
              </w:rPr>
              <w:t xml:space="preserve">The outcome should be </w:t>
            </w:r>
            <w:r w:rsidR="00093D24">
              <w:rPr>
                <w:rFonts w:ascii="Open Sans" w:hAnsi="Open Sans" w:cs="Open Sans"/>
                <w:b/>
                <w:bCs/>
                <w:sz w:val="20"/>
                <w:szCs w:val="20"/>
                <w:lang w:val="en-US"/>
              </w:rPr>
              <w:t>cap</w:t>
            </w:r>
            <w:r>
              <w:rPr>
                <w:rFonts w:ascii="Open Sans" w:hAnsi="Open Sans" w:cs="Open Sans"/>
                <w:b/>
                <w:bCs/>
                <w:sz w:val="20"/>
                <w:szCs w:val="20"/>
                <w:lang w:val="en-US"/>
              </w:rPr>
              <w:t xml:space="preserve">able of being separated from other outcomes, and </w:t>
            </w:r>
          </w:p>
          <w:p w14:paraId="27D9E951" w14:textId="47D46B7A" w:rsidR="00487BFC" w:rsidRDefault="00487BFC" w:rsidP="00487BFC">
            <w:pPr>
              <w:pStyle w:val="ListParagraph"/>
              <w:numPr>
                <w:ilvl w:val="1"/>
                <w:numId w:val="17"/>
              </w:numPr>
              <w:rPr>
                <w:rFonts w:ascii="Open Sans" w:hAnsi="Open Sans" w:cs="Open Sans"/>
                <w:b/>
                <w:bCs/>
                <w:sz w:val="20"/>
                <w:szCs w:val="20"/>
                <w:lang w:val="en-US"/>
              </w:rPr>
            </w:pPr>
            <w:r>
              <w:rPr>
                <w:rFonts w:ascii="Open Sans" w:hAnsi="Open Sans" w:cs="Open Sans"/>
                <w:b/>
                <w:bCs/>
                <w:sz w:val="20"/>
                <w:szCs w:val="20"/>
                <w:lang w:val="en-US"/>
              </w:rPr>
              <w:t xml:space="preserve">The resources required should be </w:t>
            </w:r>
            <w:r w:rsidR="00093D24">
              <w:rPr>
                <w:rFonts w:ascii="Open Sans" w:hAnsi="Open Sans" w:cs="Open Sans"/>
                <w:b/>
                <w:bCs/>
                <w:sz w:val="20"/>
                <w:szCs w:val="20"/>
                <w:lang w:val="en-US"/>
              </w:rPr>
              <w:t xml:space="preserve">capable of being separated from other resources required by the EGA. </w:t>
            </w:r>
          </w:p>
          <w:p w14:paraId="1A18EA72" w14:textId="633ED906" w:rsidR="001527D4" w:rsidRDefault="00E457F1" w:rsidP="001527D4">
            <w:pPr>
              <w:pStyle w:val="ListParagraph"/>
              <w:rPr>
                <w:rFonts w:ascii="Open Sans" w:hAnsi="Open Sans" w:cs="Open Sans"/>
                <w:b/>
                <w:bCs/>
                <w:sz w:val="20"/>
                <w:szCs w:val="20"/>
                <w:lang w:val="en-US"/>
              </w:rPr>
            </w:pPr>
            <w:r>
              <w:rPr>
                <w:rFonts w:ascii="Open Sans" w:hAnsi="Open Sans" w:cs="Open Sans"/>
                <w:b/>
                <w:bCs/>
                <w:sz w:val="20"/>
                <w:szCs w:val="20"/>
                <w:lang w:val="en-US"/>
              </w:rPr>
              <w:t xml:space="preserve"> A</w:t>
            </w:r>
            <w:r w:rsidR="00093D24">
              <w:rPr>
                <w:rFonts w:ascii="Open Sans" w:hAnsi="Open Sans" w:cs="Open Sans"/>
                <w:b/>
                <w:bCs/>
                <w:sz w:val="20"/>
                <w:szCs w:val="20"/>
                <w:lang w:val="en-US"/>
              </w:rPr>
              <w:t>dditional clarity</w:t>
            </w:r>
            <w:r>
              <w:rPr>
                <w:rFonts w:ascii="Open Sans" w:hAnsi="Open Sans" w:cs="Open Sans"/>
                <w:b/>
                <w:bCs/>
                <w:sz w:val="20"/>
                <w:szCs w:val="20"/>
                <w:lang w:val="en-US"/>
              </w:rPr>
              <w:t xml:space="preserve"> could</w:t>
            </w:r>
            <w:r w:rsidR="00093D24">
              <w:rPr>
                <w:rFonts w:ascii="Open Sans" w:hAnsi="Open Sans" w:cs="Open Sans"/>
                <w:b/>
                <w:bCs/>
                <w:sz w:val="20"/>
                <w:szCs w:val="20"/>
                <w:lang w:val="en-US"/>
              </w:rPr>
              <w:t xml:space="preserve"> be added to provide guidance on what is meant by the resources being separable</w:t>
            </w:r>
            <w:r>
              <w:rPr>
                <w:rFonts w:ascii="Open Sans" w:hAnsi="Open Sans" w:cs="Open Sans"/>
                <w:b/>
                <w:bCs/>
                <w:sz w:val="20"/>
                <w:szCs w:val="20"/>
                <w:lang w:val="en-US"/>
              </w:rPr>
              <w:t>.</w:t>
            </w:r>
            <w:r w:rsidR="00093D24">
              <w:rPr>
                <w:rFonts w:ascii="Open Sans" w:hAnsi="Open Sans" w:cs="Open Sans"/>
                <w:b/>
                <w:bCs/>
                <w:sz w:val="20"/>
                <w:szCs w:val="20"/>
                <w:lang w:val="en-US"/>
              </w:rPr>
              <w:t xml:space="preserve"> In many instances the same members of staff and assets will be used for various grant agreements and various EGOs within those agreements, even when the outcomes or activities </w:t>
            </w:r>
            <w:proofErr w:type="gramStart"/>
            <w:r w:rsidR="00093D24">
              <w:rPr>
                <w:rFonts w:ascii="Open Sans" w:hAnsi="Open Sans" w:cs="Open Sans"/>
                <w:b/>
                <w:bCs/>
                <w:sz w:val="20"/>
                <w:szCs w:val="20"/>
                <w:lang w:val="en-US"/>
              </w:rPr>
              <w:t>are  very</w:t>
            </w:r>
            <w:proofErr w:type="gramEnd"/>
            <w:r w:rsidR="00093D24">
              <w:rPr>
                <w:rFonts w:ascii="Open Sans" w:hAnsi="Open Sans" w:cs="Open Sans"/>
                <w:b/>
                <w:bCs/>
                <w:sz w:val="20"/>
                <w:szCs w:val="20"/>
                <w:lang w:val="en-US"/>
              </w:rPr>
              <w:t xml:space="preserve"> clearly distinct from each other. </w:t>
            </w:r>
          </w:p>
          <w:p w14:paraId="56FD6EA6" w14:textId="77777777" w:rsidR="00BA1D5A" w:rsidRPr="001527D4" w:rsidRDefault="00BA1D5A" w:rsidP="001527D4">
            <w:pPr>
              <w:pStyle w:val="ListParagraph"/>
              <w:rPr>
                <w:rFonts w:ascii="Open Sans" w:hAnsi="Open Sans" w:cs="Open Sans"/>
                <w:b/>
                <w:bCs/>
                <w:sz w:val="20"/>
                <w:szCs w:val="20"/>
                <w:lang w:val="en-US"/>
              </w:rPr>
            </w:pPr>
          </w:p>
          <w:p w14:paraId="52131EEA" w14:textId="5C4F9231" w:rsidR="009635D3" w:rsidRDefault="00487BFC" w:rsidP="001527D4">
            <w:pPr>
              <w:pStyle w:val="ListParagraph"/>
              <w:numPr>
                <w:ilvl w:val="0"/>
                <w:numId w:val="17"/>
              </w:numPr>
              <w:rPr>
                <w:rFonts w:ascii="Open Sans" w:hAnsi="Open Sans" w:cs="Open Sans"/>
                <w:b/>
                <w:bCs/>
                <w:sz w:val="20"/>
                <w:szCs w:val="20"/>
                <w:lang w:val="en-US"/>
              </w:rPr>
            </w:pPr>
            <w:r>
              <w:rPr>
                <w:rFonts w:ascii="Open Sans" w:hAnsi="Open Sans" w:cs="Open Sans"/>
                <w:b/>
                <w:bCs/>
                <w:sz w:val="20"/>
                <w:szCs w:val="20"/>
                <w:lang w:val="en-US"/>
              </w:rPr>
              <w:t xml:space="preserve">The layout of the section is confusing for a user of INPAG to follow. The initial guidance is difficult to digest, even when the user has watched the </w:t>
            </w:r>
            <w:r w:rsidR="00DA372C">
              <w:rPr>
                <w:rFonts w:ascii="Open Sans" w:hAnsi="Open Sans" w:cs="Open Sans"/>
                <w:b/>
                <w:bCs/>
                <w:sz w:val="20"/>
                <w:szCs w:val="20"/>
                <w:lang w:val="en-US"/>
              </w:rPr>
              <w:t xml:space="preserve">webinars </w:t>
            </w:r>
            <w:r>
              <w:rPr>
                <w:rFonts w:ascii="Open Sans" w:hAnsi="Open Sans" w:cs="Open Sans"/>
                <w:b/>
                <w:bCs/>
                <w:sz w:val="20"/>
                <w:szCs w:val="20"/>
                <w:lang w:val="en-US"/>
              </w:rPr>
              <w:t>that accompan</w:t>
            </w:r>
            <w:r w:rsidR="00DA372C">
              <w:rPr>
                <w:rFonts w:ascii="Open Sans" w:hAnsi="Open Sans" w:cs="Open Sans"/>
                <w:b/>
                <w:bCs/>
                <w:sz w:val="20"/>
                <w:szCs w:val="20"/>
                <w:lang w:val="en-US"/>
              </w:rPr>
              <w:t>y</w:t>
            </w:r>
            <w:r>
              <w:rPr>
                <w:rFonts w:ascii="Open Sans" w:hAnsi="Open Sans" w:cs="Open Sans"/>
                <w:b/>
                <w:bCs/>
                <w:sz w:val="20"/>
                <w:szCs w:val="20"/>
                <w:lang w:val="en-US"/>
              </w:rPr>
              <w:t xml:space="preserve"> th</w:t>
            </w:r>
            <w:r w:rsidR="00DA372C">
              <w:rPr>
                <w:rFonts w:ascii="Open Sans" w:hAnsi="Open Sans" w:cs="Open Sans"/>
                <w:b/>
                <w:bCs/>
                <w:sz w:val="20"/>
                <w:szCs w:val="20"/>
                <w:lang w:val="en-US"/>
              </w:rPr>
              <w:t>e</w:t>
            </w:r>
            <w:r>
              <w:rPr>
                <w:rFonts w:ascii="Open Sans" w:hAnsi="Open Sans" w:cs="Open Sans"/>
                <w:b/>
                <w:bCs/>
                <w:sz w:val="20"/>
                <w:szCs w:val="20"/>
                <w:lang w:val="en-US"/>
              </w:rPr>
              <w:t xml:space="preserve"> exposure draft. Part of the reason for this is </w:t>
            </w:r>
            <w:r w:rsidR="00DA372C">
              <w:rPr>
                <w:rFonts w:ascii="Open Sans" w:hAnsi="Open Sans" w:cs="Open Sans"/>
                <w:b/>
                <w:bCs/>
                <w:sz w:val="20"/>
                <w:szCs w:val="20"/>
                <w:lang w:val="en-US"/>
              </w:rPr>
              <w:t>that</w:t>
            </w:r>
            <w:r>
              <w:rPr>
                <w:rFonts w:ascii="Open Sans" w:hAnsi="Open Sans" w:cs="Open Sans"/>
                <w:b/>
                <w:bCs/>
                <w:sz w:val="20"/>
                <w:szCs w:val="20"/>
                <w:lang w:val="en-US"/>
              </w:rPr>
              <w:t xml:space="preserve"> a lot of explanations</w:t>
            </w:r>
            <w:r w:rsidR="00DA372C">
              <w:rPr>
                <w:rFonts w:ascii="Open Sans" w:hAnsi="Open Sans" w:cs="Open Sans"/>
                <w:b/>
                <w:bCs/>
                <w:sz w:val="20"/>
                <w:szCs w:val="20"/>
                <w:lang w:val="en-US"/>
              </w:rPr>
              <w:t>/</w:t>
            </w:r>
            <w:r>
              <w:rPr>
                <w:rFonts w:ascii="Open Sans" w:hAnsi="Open Sans" w:cs="Open Sans"/>
                <w:b/>
                <w:bCs/>
                <w:sz w:val="20"/>
                <w:szCs w:val="20"/>
                <w:lang w:val="en-US"/>
              </w:rPr>
              <w:t xml:space="preserve"> guidance</w:t>
            </w:r>
            <w:r w:rsidR="00BA1D5A">
              <w:rPr>
                <w:rFonts w:ascii="Open Sans" w:hAnsi="Open Sans" w:cs="Open Sans"/>
                <w:b/>
                <w:bCs/>
                <w:sz w:val="20"/>
                <w:szCs w:val="20"/>
                <w:lang w:val="en-US"/>
              </w:rPr>
              <w:t xml:space="preserve"> </w:t>
            </w:r>
            <w:r w:rsidR="00DA372C">
              <w:rPr>
                <w:rFonts w:ascii="Open Sans" w:hAnsi="Open Sans" w:cs="Open Sans"/>
                <w:b/>
                <w:bCs/>
                <w:sz w:val="20"/>
                <w:szCs w:val="20"/>
                <w:lang w:val="en-US"/>
              </w:rPr>
              <w:t>are</w:t>
            </w:r>
            <w:r>
              <w:rPr>
                <w:rFonts w:ascii="Open Sans" w:hAnsi="Open Sans" w:cs="Open Sans"/>
                <w:b/>
                <w:bCs/>
                <w:sz w:val="20"/>
                <w:szCs w:val="20"/>
                <w:lang w:val="en-US"/>
              </w:rPr>
              <w:t xml:space="preserve"> located at the end of the section.</w:t>
            </w:r>
            <w:r w:rsidR="00DA372C">
              <w:rPr>
                <w:rFonts w:ascii="Open Sans" w:hAnsi="Open Sans" w:cs="Open Sans"/>
                <w:b/>
                <w:bCs/>
                <w:sz w:val="20"/>
                <w:szCs w:val="20"/>
                <w:lang w:val="en-US"/>
              </w:rPr>
              <w:t xml:space="preserve">  It may be beneficial to embed these in the main body of the section.</w:t>
            </w:r>
            <w:r>
              <w:rPr>
                <w:rFonts w:ascii="Open Sans" w:hAnsi="Open Sans" w:cs="Open Sans"/>
                <w:b/>
                <w:bCs/>
                <w:sz w:val="20"/>
                <w:szCs w:val="20"/>
                <w:lang w:val="en-US"/>
              </w:rPr>
              <w:t xml:space="preserve"> </w:t>
            </w:r>
          </w:p>
          <w:p w14:paraId="7096C6E3" w14:textId="4B3145DA" w:rsidR="00A566A1" w:rsidRPr="00BA1D5A" w:rsidRDefault="00BA1D5A" w:rsidP="00BA1D5A">
            <w:pPr>
              <w:tabs>
                <w:tab w:val="left" w:pos="3310"/>
              </w:tabs>
              <w:rPr>
                <w:rFonts w:ascii="Open Sans" w:hAnsi="Open Sans" w:cs="Open Sans"/>
                <w:b/>
                <w:bCs/>
                <w:sz w:val="20"/>
                <w:szCs w:val="20"/>
                <w:lang w:val="en-US"/>
              </w:rPr>
            </w:pPr>
            <w:r w:rsidRPr="00BA1D5A">
              <w:rPr>
                <w:rFonts w:ascii="Open Sans" w:hAnsi="Open Sans" w:cs="Open Sans"/>
                <w:b/>
                <w:bCs/>
                <w:sz w:val="20"/>
                <w:szCs w:val="20"/>
                <w:lang w:val="en-US"/>
              </w:rPr>
              <w:lastRenderedPageBreak/>
              <w:tab/>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BA1D5A" w:rsidRDefault="008A1B93" w:rsidP="0054631C">
            <w:pPr>
              <w:jc w:val="both"/>
              <w:rPr>
                <w:rFonts w:ascii="Open Sans" w:hAnsi="Open Sans" w:cs="Open Sans"/>
                <w:b/>
                <w:bCs/>
                <w:sz w:val="20"/>
                <w:szCs w:val="20"/>
                <w:lang w:val="en-US"/>
              </w:rPr>
            </w:pPr>
            <w:r w:rsidRPr="00BA1D5A">
              <w:rPr>
                <w:rFonts w:ascii="Open Sans" w:hAnsi="Open Sans" w:cs="Open Sans"/>
                <w:b/>
                <w:bCs/>
                <w:sz w:val="20"/>
                <w:szCs w:val="20"/>
                <w:lang w:val="en-US"/>
              </w:rPr>
              <w:t xml:space="preserve">Question 5: Expenses on grants and donations </w:t>
            </w:r>
          </w:p>
          <w:p w14:paraId="05CB89C0" w14:textId="77777777" w:rsidR="008A1B93" w:rsidRPr="00BA1D5A" w:rsidRDefault="008A1B93" w:rsidP="00515388">
            <w:pPr>
              <w:jc w:val="both"/>
              <w:rPr>
                <w:rFonts w:ascii="Open Sans" w:hAnsi="Open Sans" w:cs="Open Sans"/>
                <w:b/>
                <w:bCs/>
                <w:sz w:val="20"/>
                <w:szCs w:val="20"/>
                <w:lang w:val="en-US"/>
              </w:rPr>
            </w:pPr>
          </w:p>
          <w:p w14:paraId="15DF02FF" w14:textId="37B4245A" w:rsidR="008A1B93" w:rsidRPr="00BA1D5A" w:rsidRDefault="008A1B93" w:rsidP="007D0030">
            <w:pPr>
              <w:rPr>
                <w:rFonts w:ascii="Open Sans" w:hAnsi="Open Sans" w:cs="Open Sans"/>
                <w:sz w:val="20"/>
                <w:szCs w:val="20"/>
              </w:rPr>
            </w:pPr>
            <w:r w:rsidRPr="00BA1D5A">
              <w:rPr>
                <w:rFonts w:ascii="Open Sans" w:hAnsi="Open Sans" w:cs="Open Sans"/>
                <w:b/>
                <w:bCs/>
                <w:color w:val="000000" w:themeColor="text1"/>
                <w:sz w:val="20"/>
                <w:szCs w:val="20"/>
              </w:rPr>
              <w:t xml:space="preserve">INPAG Section 24 </w:t>
            </w:r>
            <w:r w:rsidRPr="00BA1D5A">
              <w:rPr>
                <w:rFonts w:ascii="Open Sans" w:hAnsi="Open Sans" w:cs="Open Sans"/>
                <w:color w:val="000000" w:themeColor="text1"/>
                <w:sz w:val="20"/>
                <w:szCs w:val="20"/>
              </w:rPr>
              <w:t xml:space="preserve">is new and covers accounting for expenses. </w:t>
            </w:r>
            <w:r w:rsidRPr="00BA1D5A">
              <w:rPr>
                <w:rFonts w:ascii="Open Sans" w:hAnsi="Open Sans" w:cs="Open Sans"/>
                <w:iCs/>
                <w:color w:val="000000" w:themeColor="text1"/>
                <w:sz w:val="20"/>
                <w:szCs w:val="20"/>
              </w:rPr>
              <w:t>Part 1</w:t>
            </w:r>
            <w:r w:rsidRPr="00BA1D5A">
              <w:rPr>
                <w:rFonts w:ascii="Open Sans" w:hAnsi="Open Sans" w:cs="Open Sans"/>
                <w:i/>
                <w:color w:val="000000" w:themeColor="text1"/>
                <w:sz w:val="20"/>
                <w:szCs w:val="20"/>
              </w:rPr>
              <w:t xml:space="preserve"> </w:t>
            </w:r>
            <w:r w:rsidRPr="00BA1D5A">
              <w:rPr>
                <w:rFonts w:ascii="Open Sans" w:hAnsi="Open Sans" w:cs="Open Sans"/>
                <w:iCs/>
                <w:color w:val="000000" w:themeColor="text1"/>
                <w:sz w:val="20"/>
                <w:szCs w:val="20"/>
              </w:rPr>
              <w:t>of this Section covers Expenses on grants and donations</w:t>
            </w:r>
            <w:r w:rsidRPr="00BA1D5A">
              <w:rPr>
                <w:rFonts w:ascii="Open Sans" w:hAnsi="Open Sans" w:cs="Open Sans"/>
                <w:color w:val="000000" w:themeColor="text1"/>
                <w:sz w:val="20"/>
                <w:szCs w:val="20"/>
              </w:rPr>
              <w:t xml:space="preserve">. Guidance covers the recognition, </w:t>
            </w:r>
            <w:proofErr w:type="gramStart"/>
            <w:r w:rsidRPr="00BA1D5A">
              <w:rPr>
                <w:rFonts w:ascii="Open Sans" w:hAnsi="Open Sans" w:cs="Open Sans"/>
                <w:color w:val="000000" w:themeColor="text1"/>
                <w:sz w:val="20"/>
                <w:szCs w:val="20"/>
              </w:rPr>
              <w:t>measurement</w:t>
            </w:r>
            <w:proofErr w:type="gramEnd"/>
            <w:r w:rsidRPr="00BA1D5A">
              <w:rPr>
                <w:rFonts w:ascii="Open Sans" w:hAnsi="Open Sans" w:cs="Open Sans"/>
                <w:color w:val="000000" w:themeColor="text1"/>
                <w:sz w:val="20"/>
                <w:szCs w:val="20"/>
              </w:rPr>
              <w:t xml:space="preserve">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BA1D5A" w:rsidRDefault="0054631C" w:rsidP="0054631C">
            <w:pPr>
              <w:jc w:val="both"/>
              <w:rPr>
                <w:rFonts w:ascii="Open Sans" w:hAnsi="Open Sans" w:cs="Open Sans"/>
                <w:b/>
                <w:bCs/>
                <w:sz w:val="20"/>
                <w:szCs w:val="20"/>
              </w:rPr>
            </w:pPr>
          </w:p>
        </w:tc>
        <w:tc>
          <w:tcPr>
            <w:tcW w:w="1642" w:type="dxa"/>
          </w:tcPr>
          <w:p w14:paraId="63634B6A" w14:textId="53C5D080" w:rsidR="0054631C" w:rsidRPr="00BA1D5A" w:rsidRDefault="0054631C" w:rsidP="0054631C">
            <w:pPr>
              <w:rPr>
                <w:rFonts w:ascii="Open Sans" w:hAnsi="Open Sans" w:cs="Open Sans"/>
                <w:b/>
                <w:bCs/>
                <w:sz w:val="20"/>
                <w:szCs w:val="20"/>
                <w:lang w:val="en-US"/>
              </w:rPr>
            </w:pPr>
            <w:r w:rsidRPr="00BA1D5A">
              <w:rPr>
                <w:rFonts w:ascii="Open Sans" w:hAnsi="Open Sans" w:cs="Open Sans"/>
                <w:b/>
                <w:bCs/>
                <w:sz w:val="20"/>
                <w:szCs w:val="20"/>
                <w:lang w:val="en-US"/>
              </w:rPr>
              <w:t>References</w:t>
            </w:r>
          </w:p>
        </w:tc>
        <w:tc>
          <w:tcPr>
            <w:tcW w:w="8282" w:type="dxa"/>
          </w:tcPr>
          <w:p w14:paraId="73510024" w14:textId="0E1F21B2" w:rsidR="0054631C" w:rsidRPr="00BA1D5A" w:rsidRDefault="0054631C" w:rsidP="0054631C">
            <w:pPr>
              <w:rPr>
                <w:rFonts w:ascii="Open Sans" w:hAnsi="Open Sans" w:cs="Open Sans"/>
                <w:b/>
                <w:bCs/>
                <w:sz w:val="20"/>
                <w:szCs w:val="20"/>
                <w:lang w:val="en-US"/>
              </w:rPr>
            </w:pPr>
            <w:r w:rsidRPr="00BA1D5A">
              <w:rPr>
                <w:rFonts w:ascii="Open Sans" w:hAnsi="Open Sans" w:cs="Open Sans"/>
                <w:b/>
                <w:bCs/>
                <w:sz w:val="20"/>
                <w:szCs w:val="20"/>
                <w:lang w:val="en-US"/>
              </w:rPr>
              <w:t>Response</w:t>
            </w:r>
          </w:p>
        </w:tc>
      </w:tr>
      <w:tr w:rsidR="00EE70DF" w:rsidRPr="00EB6705" w14:paraId="4C148FFE" w14:textId="77777777" w:rsidTr="00A276B0">
        <w:tc>
          <w:tcPr>
            <w:tcW w:w="4388" w:type="dxa"/>
          </w:tcPr>
          <w:p w14:paraId="6B8A8508" w14:textId="285802CA" w:rsidR="00EE70DF" w:rsidRPr="00BA1D5A" w:rsidRDefault="00EE70DF" w:rsidP="00180B89">
            <w:pPr>
              <w:numPr>
                <w:ilvl w:val="0"/>
                <w:numId w:val="18"/>
              </w:numPr>
              <w:ind w:left="316"/>
              <w:contextualSpacing/>
              <w:jc w:val="both"/>
              <w:rPr>
                <w:rFonts w:ascii="Open Sans" w:hAnsi="Open Sans" w:cs="Open Sans"/>
                <w:sz w:val="20"/>
                <w:szCs w:val="20"/>
                <w:lang w:val="en-US"/>
              </w:rPr>
            </w:pPr>
            <w:r w:rsidRPr="00BA1D5A">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BA1D5A" w:rsidRDefault="00EE70DF" w:rsidP="00EE70DF">
            <w:pPr>
              <w:jc w:val="both"/>
              <w:rPr>
                <w:rFonts w:ascii="Open Sans" w:hAnsi="Open Sans" w:cs="Open Sans"/>
                <w:sz w:val="20"/>
                <w:szCs w:val="20"/>
                <w:lang w:val="en-US"/>
              </w:rPr>
            </w:pPr>
            <w:r w:rsidRPr="00BA1D5A">
              <w:rPr>
                <w:rFonts w:ascii="Open Sans" w:hAnsi="Open Sans" w:cs="Open Sans"/>
                <w:sz w:val="20"/>
                <w:szCs w:val="20"/>
              </w:rPr>
              <w:t>G24.3, AG24.9, AG24.13-AG24.15</w:t>
            </w:r>
          </w:p>
        </w:tc>
        <w:tc>
          <w:tcPr>
            <w:tcW w:w="8282" w:type="dxa"/>
          </w:tcPr>
          <w:p w14:paraId="77C7EE79" w14:textId="774F5960" w:rsidR="00EE70DF" w:rsidRPr="00BA1D5A" w:rsidRDefault="0072417A" w:rsidP="00EE70DF">
            <w:pPr>
              <w:rPr>
                <w:rFonts w:ascii="Open Sans" w:hAnsi="Open Sans" w:cs="Open Sans"/>
                <w:b/>
                <w:bCs/>
                <w:sz w:val="20"/>
                <w:szCs w:val="20"/>
                <w:lang w:val="en-US"/>
              </w:rPr>
            </w:pPr>
            <w:r w:rsidRPr="00BA1D5A">
              <w:rPr>
                <w:rFonts w:ascii="Open Sans" w:hAnsi="Open Sans" w:cs="Open Sans"/>
                <w:b/>
                <w:bCs/>
                <w:sz w:val="20"/>
                <w:szCs w:val="20"/>
                <w:lang w:val="en-US"/>
              </w:rPr>
              <w:t>We consider that legal opinion should be sought on this matter particularly and the impact of potential jurisdictional differences considered.</w:t>
            </w:r>
          </w:p>
        </w:tc>
      </w:tr>
      <w:tr w:rsidR="00EE70DF" w:rsidRPr="00EB6705" w14:paraId="18922F9D" w14:textId="77777777" w:rsidTr="00A276B0">
        <w:tc>
          <w:tcPr>
            <w:tcW w:w="4388" w:type="dxa"/>
          </w:tcPr>
          <w:p w14:paraId="2C19F45B" w14:textId="007524DB" w:rsidR="00EE70DF" w:rsidRPr="00BA1D5A" w:rsidRDefault="00EE70DF" w:rsidP="00180B89">
            <w:pPr>
              <w:numPr>
                <w:ilvl w:val="0"/>
                <w:numId w:val="18"/>
              </w:numPr>
              <w:ind w:left="318"/>
              <w:contextualSpacing/>
              <w:jc w:val="both"/>
              <w:rPr>
                <w:rFonts w:ascii="Open Sans" w:hAnsi="Open Sans" w:cs="Open Sans"/>
                <w:sz w:val="20"/>
                <w:szCs w:val="20"/>
                <w:lang w:val="en-US"/>
              </w:rPr>
            </w:pPr>
            <w:r w:rsidRPr="00BA1D5A">
              <w:rPr>
                <w:rFonts w:ascii="Open Sans" w:hAnsi="Open Sans" w:cs="Open Sans"/>
                <w:sz w:val="20"/>
                <w:szCs w:val="20"/>
              </w:rPr>
              <w:t xml:space="preserve">Do you agree that the full amount of the grant (including where it covers multiple years) should be recognised as an expense if the grant-provider has no realistic means to avoid the expense? If not, under what circumstances should a </w:t>
            </w:r>
            <w:r w:rsidRPr="00BA1D5A">
              <w:rPr>
                <w:rFonts w:ascii="Open Sans" w:hAnsi="Open Sans" w:cs="Open Sans"/>
                <w:sz w:val="20"/>
                <w:szCs w:val="20"/>
              </w:rPr>
              <w:lastRenderedPageBreak/>
              <w:t>grant-provider not recognise the full expense and what is the rationale?</w:t>
            </w:r>
          </w:p>
        </w:tc>
        <w:tc>
          <w:tcPr>
            <w:tcW w:w="1642" w:type="dxa"/>
          </w:tcPr>
          <w:p w14:paraId="7AC020E5" w14:textId="29138F25" w:rsidR="00EE70DF" w:rsidRPr="00BA1D5A" w:rsidRDefault="00EE70DF" w:rsidP="00EE70DF">
            <w:pPr>
              <w:jc w:val="both"/>
              <w:rPr>
                <w:rFonts w:ascii="Open Sans" w:hAnsi="Open Sans" w:cs="Open Sans"/>
                <w:sz w:val="20"/>
                <w:szCs w:val="20"/>
                <w:lang w:val="en-US"/>
              </w:rPr>
            </w:pPr>
            <w:r w:rsidRPr="00BA1D5A">
              <w:rPr>
                <w:rFonts w:ascii="Open Sans" w:hAnsi="Open Sans" w:cs="Open Sans"/>
                <w:sz w:val="20"/>
                <w:szCs w:val="20"/>
              </w:rPr>
              <w:lastRenderedPageBreak/>
              <w:t>G24.17-G24.18, AG24.24-AG24.27</w:t>
            </w:r>
          </w:p>
        </w:tc>
        <w:tc>
          <w:tcPr>
            <w:tcW w:w="8282" w:type="dxa"/>
          </w:tcPr>
          <w:p w14:paraId="4393A4A5" w14:textId="294E0298" w:rsidR="00EE70DF" w:rsidRDefault="009D21FA" w:rsidP="00EE70DF">
            <w:pPr>
              <w:rPr>
                <w:rFonts w:ascii="Open Sans" w:hAnsi="Open Sans" w:cs="Open Sans"/>
                <w:b/>
                <w:bCs/>
                <w:sz w:val="20"/>
                <w:szCs w:val="20"/>
                <w:lang w:val="en-US"/>
              </w:rPr>
            </w:pPr>
            <w:r w:rsidRPr="00BA1D5A">
              <w:rPr>
                <w:rFonts w:ascii="Open Sans" w:hAnsi="Open Sans" w:cs="Open Sans"/>
                <w:b/>
                <w:bCs/>
                <w:sz w:val="20"/>
                <w:szCs w:val="20"/>
                <w:lang w:val="en-US"/>
              </w:rPr>
              <w:t xml:space="preserve">Yes, as that is the amount </w:t>
            </w:r>
            <w:r w:rsidR="0072417A" w:rsidRPr="00BA1D5A">
              <w:rPr>
                <w:rFonts w:ascii="Open Sans" w:hAnsi="Open Sans" w:cs="Open Sans"/>
                <w:b/>
                <w:bCs/>
                <w:sz w:val="20"/>
                <w:szCs w:val="20"/>
                <w:lang w:val="en-US"/>
              </w:rPr>
              <w:t xml:space="preserve">the grantor </w:t>
            </w:r>
            <w:r w:rsidRPr="00BA1D5A">
              <w:rPr>
                <w:rFonts w:ascii="Open Sans" w:hAnsi="Open Sans" w:cs="Open Sans"/>
                <w:b/>
                <w:bCs/>
                <w:sz w:val="20"/>
                <w:szCs w:val="20"/>
                <w:lang w:val="en-US"/>
              </w:rPr>
              <w:t>ha</w:t>
            </w:r>
            <w:r w:rsidR="0072417A" w:rsidRPr="00BA1D5A">
              <w:rPr>
                <w:rFonts w:ascii="Open Sans" w:hAnsi="Open Sans" w:cs="Open Sans"/>
                <w:b/>
                <w:bCs/>
                <w:sz w:val="20"/>
                <w:szCs w:val="20"/>
                <w:lang w:val="en-US"/>
              </w:rPr>
              <w:t>s</w:t>
            </w:r>
            <w:r w:rsidRPr="00BA1D5A">
              <w:rPr>
                <w:rFonts w:ascii="Open Sans" w:hAnsi="Open Sans" w:cs="Open Sans"/>
                <w:b/>
                <w:bCs/>
                <w:sz w:val="20"/>
                <w:szCs w:val="20"/>
                <w:lang w:val="en-US"/>
              </w:rPr>
              <w:t xml:space="preserve"> an obligation to pay. </w:t>
            </w:r>
          </w:p>
          <w:p w14:paraId="39AC359F" w14:textId="77777777" w:rsidR="00BA1D5A" w:rsidRPr="00BA1D5A" w:rsidRDefault="00BA1D5A" w:rsidP="00EE70DF">
            <w:pPr>
              <w:rPr>
                <w:rFonts w:ascii="Open Sans" w:hAnsi="Open Sans" w:cs="Open Sans"/>
                <w:b/>
                <w:bCs/>
                <w:sz w:val="20"/>
                <w:szCs w:val="20"/>
                <w:lang w:val="en-US"/>
              </w:rPr>
            </w:pPr>
          </w:p>
          <w:p w14:paraId="449C5D46" w14:textId="6EDD73E6" w:rsidR="0036486E" w:rsidRPr="00BA1D5A" w:rsidRDefault="0072417A" w:rsidP="0036486E">
            <w:pPr>
              <w:rPr>
                <w:rFonts w:ascii="Open Sans" w:hAnsi="Open Sans" w:cs="Open Sans"/>
                <w:b/>
                <w:bCs/>
                <w:sz w:val="20"/>
                <w:szCs w:val="20"/>
                <w:lang w:val="en-US"/>
              </w:rPr>
            </w:pPr>
            <w:r w:rsidRPr="00BA1D5A">
              <w:rPr>
                <w:rFonts w:ascii="Open Sans" w:hAnsi="Open Sans" w:cs="Open Sans"/>
                <w:b/>
                <w:bCs/>
                <w:sz w:val="20"/>
                <w:szCs w:val="20"/>
                <w:lang w:val="en-US"/>
              </w:rPr>
              <w:t>In relation to the timing of recognition we note that</w:t>
            </w:r>
            <w:r w:rsidR="00A34374" w:rsidRPr="00BA1D5A">
              <w:rPr>
                <w:rFonts w:ascii="Open Sans" w:hAnsi="Open Sans" w:cs="Open Sans"/>
                <w:b/>
                <w:bCs/>
                <w:sz w:val="20"/>
                <w:szCs w:val="20"/>
                <w:lang w:val="en-US"/>
              </w:rPr>
              <w:t xml:space="preserve"> for EGAs</w:t>
            </w:r>
            <w:r w:rsidRPr="00BA1D5A">
              <w:rPr>
                <w:rFonts w:ascii="Open Sans" w:hAnsi="Open Sans" w:cs="Open Sans"/>
                <w:b/>
                <w:bCs/>
                <w:sz w:val="20"/>
                <w:szCs w:val="20"/>
                <w:lang w:val="en-US"/>
              </w:rPr>
              <w:t xml:space="preserve"> the grant recipient </w:t>
            </w:r>
            <w:proofErr w:type="gramStart"/>
            <w:r w:rsidRPr="00BA1D5A">
              <w:rPr>
                <w:rFonts w:ascii="Open Sans" w:hAnsi="Open Sans" w:cs="Open Sans"/>
                <w:b/>
                <w:bCs/>
                <w:sz w:val="20"/>
                <w:szCs w:val="20"/>
                <w:lang w:val="en-US"/>
              </w:rPr>
              <w:t>has to</w:t>
            </w:r>
            <w:proofErr w:type="gramEnd"/>
            <w:r w:rsidRPr="00BA1D5A">
              <w:rPr>
                <w:rFonts w:ascii="Open Sans" w:hAnsi="Open Sans" w:cs="Open Sans"/>
                <w:b/>
                <w:bCs/>
                <w:sz w:val="20"/>
                <w:szCs w:val="20"/>
                <w:lang w:val="en-US"/>
              </w:rPr>
              <w:t xml:space="preserve"> have met their obligations for the grant to be recogni</w:t>
            </w:r>
            <w:r w:rsidR="00A566A1" w:rsidRPr="00BA1D5A">
              <w:rPr>
                <w:rFonts w:ascii="Open Sans" w:hAnsi="Open Sans" w:cs="Open Sans"/>
                <w:b/>
                <w:bCs/>
                <w:sz w:val="20"/>
                <w:szCs w:val="20"/>
                <w:lang w:val="en-US"/>
              </w:rPr>
              <w:t>s</w:t>
            </w:r>
            <w:r w:rsidRPr="00BA1D5A">
              <w:rPr>
                <w:rFonts w:ascii="Open Sans" w:hAnsi="Open Sans" w:cs="Open Sans"/>
                <w:b/>
                <w:bCs/>
                <w:sz w:val="20"/>
                <w:szCs w:val="20"/>
                <w:lang w:val="en-US"/>
              </w:rPr>
              <w:t>ed as an expense in the books of the grantor.</w:t>
            </w:r>
            <w:r w:rsidR="00BA1D5A">
              <w:rPr>
                <w:rFonts w:ascii="Open Sans" w:hAnsi="Open Sans" w:cs="Open Sans"/>
                <w:b/>
                <w:bCs/>
                <w:sz w:val="20"/>
                <w:szCs w:val="20"/>
                <w:lang w:val="en-US"/>
              </w:rPr>
              <w:t xml:space="preserve"> </w:t>
            </w:r>
            <w:r w:rsidR="00A566A1" w:rsidRPr="00BA1D5A">
              <w:rPr>
                <w:rFonts w:ascii="Open Sans" w:hAnsi="Open Sans" w:cs="Open Sans"/>
                <w:b/>
                <w:bCs/>
                <w:sz w:val="20"/>
                <w:szCs w:val="20"/>
                <w:lang w:val="en-US"/>
              </w:rPr>
              <w:t>However,</w:t>
            </w:r>
            <w:r w:rsidR="009D21FA" w:rsidRPr="00BA1D5A">
              <w:rPr>
                <w:rFonts w:ascii="Open Sans" w:hAnsi="Open Sans" w:cs="Open Sans"/>
                <w:b/>
                <w:bCs/>
                <w:sz w:val="20"/>
                <w:szCs w:val="20"/>
                <w:lang w:val="en-US"/>
              </w:rPr>
              <w:t xml:space="preserve"> </w:t>
            </w:r>
            <w:r w:rsidR="00A566A1" w:rsidRPr="00BA1D5A">
              <w:rPr>
                <w:rFonts w:ascii="Open Sans" w:hAnsi="Open Sans" w:cs="Open Sans"/>
                <w:b/>
                <w:bCs/>
                <w:sz w:val="20"/>
                <w:szCs w:val="20"/>
                <w:lang w:val="en-US"/>
              </w:rPr>
              <w:t xml:space="preserve">whether the recipient meets their </w:t>
            </w:r>
            <w:r w:rsidR="0036486E" w:rsidRPr="00BA1D5A">
              <w:rPr>
                <w:rFonts w:ascii="Open Sans" w:hAnsi="Open Sans" w:cs="Open Sans"/>
                <w:b/>
                <w:bCs/>
                <w:sz w:val="20"/>
                <w:szCs w:val="20"/>
                <w:lang w:val="en-US"/>
              </w:rPr>
              <w:t>obligation</w:t>
            </w:r>
            <w:r w:rsidR="00A566A1" w:rsidRPr="00BA1D5A">
              <w:rPr>
                <w:rFonts w:ascii="Open Sans" w:hAnsi="Open Sans" w:cs="Open Sans"/>
                <w:b/>
                <w:bCs/>
                <w:sz w:val="20"/>
                <w:szCs w:val="20"/>
                <w:lang w:val="en-US"/>
              </w:rPr>
              <w:t>s is out of the grantor’s control and therefore we question whether this is appropriate.  From a practical perspective, t</w:t>
            </w:r>
            <w:r w:rsidR="009D21FA" w:rsidRPr="00BA1D5A">
              <w:rPr>
                <w:rFonts w:ascii="Open Sans" w:hAnsi="Open Sans" w:cs="Open Sans"/>
                <w:b/>
                <w:bCs/>
                <w:sz w:val="20"/>
                <w:szCs w:val="20"/>
                <w:lang w:val="en-US"/>
              </w:rPr>
              <w:t xml:space="preserve">here </w:t>
            </w:r>
            <w:r w:rsidR="00A566A1" w:rsidRPr="00BA1D5A">
              <w:rPr>
                <w:rFonts w:ascii="Open Sans" w:hAnsi="Open Sans" w:cs="Open Sans"/>
                <w:b/>
                <w:bCs/>
                <w:sz w:val="20"/>
                <w:szCs w:val="20"/>
                <w:lang w:val="en-US"/>
              </w:rPr>
              <w:t xml:space="preserve">could </w:t>
            </w:r>
            <w:r w:rsidR="009D21FA" w:rsidRPr="00BA1D5A">
              <w:rPr>
                <w:rFonts w:ascii="Open Sans" w:hAnsi="Open Sans" w:cs="Open Sans"/>
                <w:b/>
                <w:bCs/>
                <w:sz w:val="20"/>
                <w:szCs w:val="20"/>
                <w:lang w:val="en-US"/>
              </w:rPr>
              <w:t>be a</w:t>
            </w:r>
            <w:r w:rsidR="00A566A1" w:rsidRPr="00BA1D5A">
              <w:rPr>
                <w:rFonts w:ascii="Open Sans" w:hAnsi="Open Sans" w:cs="Open Sans"/>
                <w:b/>
                <w:bCs/>
                <w:sz w:val="20"/>
                <w:szCs w:val="20"/>
                <w:lang w:val="en-US"/>
              </w:rPr>
              <w:t>n unwarranted</w:t>
            </w:r>
            <w:r w:rsidR="009D21FA" w:rsidRPr="00BA1D5A">
              <w:rPr>
                <w:rFonts w:ascii="Open Sans" w:hAnsi="Open Sans" w:cs="Open Sans"/>
                <w:b/>
                <w:bCs/>
                <w:sz w:val="20"/>
                <w:szCs w:val="20"/>
                <w:lang w:val="en-US"/>
              </w:rPr>
              <w:t xml:space="preserve"> </w:t>
            </w:r>
            <w:r w:rsidR="009D21FA" w:rsidRPr="00BA1D5A">
              <w:rPr>
                <w:rFonts w:ascii="Open Sans" w:hAnsi="Open Sans" w:cs="Open Sans"/>
                <w:b/>
                <w:bCs/>
                <w:sz w:val="20"/>
                <w:szCs w:val="20"/>
                <w:lang w:val="en-US"/>
              </w:rPr>
              <w:lastRenderedPageBreak/>
              <w:t>time delay</w:t>
            </w:r>
            <w:r w:rsidR="00A566A1" w:rsidRPr="00BA1D5A">
              <w:rPr>
                <w:rFonts w:ascii="Open Sans" w:hAnsi="Open Sans" w:cs="Open Sans"/>
                <w:b/>
                <w:bCs/>
                <w:sz w:val="20"/>
                <w:szCs w:val="20"/>
                <w:lang w:val="en-US"/>
              </w:rPr>
              <w:t xml:space="preserve"> in recognition</w:t>
            </w:r>
            <w:r w:rsidR="009D21FA" w:rsidRPr="00BA1D5A">
              <w:rPr>
                <w:rFonts w:ascii="Open Sans" w:hAnsi="Open Sans" w:cs="Open Sans"/>
                <w:b/>
                <w:bCs/>
                <w:sz w:val="20"/>
                <w:szCs w:val="20"/>
                <w:lang w:val="en-US"/>
              </w:rPr>
              <w:t xml:space="preserve"> if the communication is not </w:t>
            </w:r>
            <w:r w:rsidR="00A566A1" w:rsidRPr="00BA1D5A">
              <w:rPr>
                <w:rFonts w:ascii="Open Sans" w:hAnsi="Open Sans" w:cs="Open Sans"/>
                <w:b/>
                <w:bCs/>
                <w:sz w:val="20"/>
                <w:szCs w:val="20"/>
                <w:lang w:val="en-US"/>
              </w:rPr>
              <w:t xml:space="preserve">timely </w:t>
            </w:r>
            <w:r w:rsidR="009D21FA" w:rsidRPr="00BA1D5A">
              <w:rPr>
                <w:rFonts w:ascii="Open Sans" w:hAnsi="Open Sans" w:cs="Open Sans"/>
                <w:b/>
                <w:bCs/>
                <w:sz w:val="20"/>
                <w:szCs w:val="20"/>
                <w:lang w:val="en-US"/>
              </w:rPr>
              <w:t>from the</w:t>
            </w:r>
            <w:r w:rsidR="0036486E" w:rsidRPr="00BA1D5A">
              <w:rPr>
                <w:rFonts w:ascii="Open Sans" w:hAnsi="Open Sans" w:cs="Open Sans"/>
                <w:b/>
                <w:bCs/>
                <w:sz w:val="20"/>
                <w:szCs w:val="20"/>
                <w:lang w:val="en-US"/>
              </w:rPr>
              <w:t xml:space="preserve"> grant</w:t>
            </w:r>
            <w:r w:rsidR="009D21FA" w:rsidRPr="00BA1D5A">
              <w:rPr>
                <w:rFonts w:ascii="Open Sans" w:hAnsi="Open Sans" w:cs="Open Sans"/>
                <w:b/>
                <w:bCs/>
                <w:sz w:val="20"/>
                <w:szCs w:val="20"/>
                <w:lang w:val="en-US"/>
              </w:rPr>
              <w:t xml:space="preserve"> recipient</w:t>
            </w:r>
            <w:r w:rsidR="00A566A1" w:rsidRPr="00BA1D5A">
              <w:rPr>
                <w:rFonts w:ascii="Open Sans" w:hAnsi="Open Sans" w:cs="Open Sans"/>
                <w:b/>
                <w:bCs/>
                <w:sz w:val="20"/>
                <w:szCs w:val="20"/>
                <w:lang w:val="en-US"/>
              </w:rPr>
              <w:t xml:space="preserve">. </w:t>
            </w:r>
          </w:p>
          <w:p w14:paraId="2050DB2D" w14:textId="77777777" w:rsidR="0036486E" w:rsidRPr="00BA1D5A" w:rsidRDefault="0036486E" w:rsidP="0036486E">
            <w:pPr>
              <w:rPr>
                <w:rFonts w:ascii="Open Sans" w:hAnsi="Open Sans" w:cs="Open Sans"/>
                <w:b/>
                <w:bCs/>
                <w:sz w:val="20"/>
                <w:szCs w:val="20"/>
                <w:lang w:val="en-US"/>
              </w:rPr>
            </w:pPr>
          </w:p>
          <w:p w14:paraId="366C839C" w14:textId="23F124CD" w:rsidR="00BB7DF4" w:rsidRPr="00BA1D5A" w:rsidRDefault="00A566A1" w:rsidP="00A566A1">
            <w:pPr>
              <w:rPr>
                <w:rFonts w:ascii="Open Sans" w:hAnsi="Open Sans" w:cs="Open Sans"/>
                <w:b/>
                <w:bCs/>
                <w:sz w:val="20"/>
                <w:szCs w:val="20"/>
                <w:lang w:val="en-US"/>
              </w:rPr>
            </w:pPr>
            <w:r w:rsidRPr="00BA1D5A">
              <w:rPr>
                <w:rFonts w:ascii="Open Sans" w:hAnsi="Open Sans" w:cs="Open Sans"/>
                <w:b/>
                <w:bCs/>
                <w:sz w:val="20"/>
                <w:szCs w:val="20"/>
                <w:lang w:val="en-US"/>
              </w:rPr>
              <w:t>We also note that</w:t>
            </w:r>
            <w:r w:rsidR="0036486E" w:rsidRPr="00BA1D5A">
              <w:rPr>
                <w:rFonts w:ascii="Open Sans" w:hAnsi="Open Sans" w:cs="Open Sans"/>
                <w:b/>
                <w:bCs/>
                <w:sz w:val="20"/>
                <w:szCs w:val="20"/>
                <w:lang w:val="en-US"/>
              </w:rPr>
              <w:t xml:space="preserve"> re OFAs</w:t>
            </w:r>
            <w:r w:rsidR="00BB7DF4" w:rsidRPr="00BA1D5A">
              <w:rPr>
                <w:rFonts w:ascii="Open Sans" w:hAnsi="Open Sans" w:cs="Open Sans"/>
                <w:b/>
                <w:bCs/>
                <w:sz w:val="20"/>
                <w:szCs w:val="20"/>
                <w:lang w:val="en-US"/>
              </w:rPr>
              <w:t xml:space="preserve"> there is one example</w:t>
            </w:r>
            <w:r w:rsidRPr="00BA1D5A">
              <w:rPr>
                <w:rFonts w:ascii="Open Sans" w:hAnsi="Open Sans" w:cs="Open Sans"/>
                <w:b/>
                <w:bCs/>
                <w:sz w:val="20"/>
                <w:szCs w:val="20"/>
                <w:lang w:val="en-US"/>
              </w:rPr>
              <w:t xml:space="preserve"> provided</w:t>
            </w:r>
            <w:r w:rsidR="00BB7DF4" w:rsidRPr="00BA1D5A">
              <w:rPr>
                <w:rFonts w:ascii="Open Sans" w:hAnsi="Open Sans" w:cs="Open Sans"/>
                <w:b/>
                <w:bCs/>
                <w:sz w:val="20"/>
                <w:szCs w:val="20"/>
                <w:lang w:val="en-US"/>
              </w:rPr>
              <w:t xml:space="preserve"> as to what might constitute a constructive </w:t>
            </w:r>
            <w:proofErr w:type="gramStart"/>
            <w:r w:rsidR="00BB7DF4" w:rsidRPr="00BA1D5A">
              <w:rPr>
                <w:rFonts w:ascii="Open Sans" w:hAnsi="Open Sans" w:cs="Open Sans"/>
                <w:b/>
                <w:bCs/>
                <w:sz w:val="20"/>
                <w:szCs w:val="20"/>
                <w:lang w:val="en-US"/>
              </w:rPr>
              <w:t>obligation</w:t>
            </w:r>
            <w:proofErr w:type="gramEnd"/>
            <w:r w:rsidR="00BB7DF4" w:rsidRPr="00BA1D5A">
              <w:rPr>
                <w:rFonts w:ascii="Open Sans" w:hAnsi="Open Sans" w:cs="Open Sans"/>
                <w:b/>
                <w:bCs/>
                <w:sz w:val="20"/>
                <w:szCs w:val="20"/>
                <w:lang w:val="en-US"/>
              </w:rPr>
              <w:t xml:space="preserve"> but it is very specific. More general guidance as to what indicates a constructive obligation (</w:t>
            </w:r>
            <w:proofErr w:type="gramStart"/>
            <w:r w:rsidR="00BB7DF4" w:rsidRPr="00BA1D5A">
              <w:rPr>
                <w:rFonts w:ascii="Open Sans" w:hAnsi="Open Sans" w:cs="Open Sans"/>
                <w:b/>
                <w:bCs/>
                <w:sz w:val="20"/>
                <w:szCs w:val="20"/>
                <w:lang w:val="en-US"/>
              </w:rPr>
              <w:t>i.e.</w:t>
            </w:r>
            <w:proofErr w:type="gramEnd"/>
            <w:r w:rsidR="00BB7DF4" w:rsidRPr="00BA1D5A">
              <w:rPr>
                <w:rFonts w:ascii="Open Sans" w:hAnsi="Open Sans" w:cs="Open Sans"/>
                <w:b/>
                <w:bCs/>
                <w:sz w:val="20"/>
                <w:szCs w:val="20"/>
                <w:lang w:val="en-US"/>
              </w:rPr>
              <w:t xml:space="preserve"> a specific commitment which has been communicated, or a historic established pattern, not just a future plan, or policy statement) would be helpful. </w:t>
            </w:r>
          </w:p>
          <w:p w14:paraId="37BAE93A" w14:textId="751B50C9" w:rsidR="00A566A1" w:rsidRPr="00BA1D5A" w:rsidRDefault="00A566A1" w:rsidP="00A566A1">
            <w:pPr>
              <w:rPr>
                <w:rFonts w:ascii="Open Sans" w:hAnsi="Open Sans" w:cs="Open Sans"/>
                <w:b/>
                <w:bCs/>
                <w:sz w:val="20"/>
                <w:szCs w:val="20"/>
                <w:lang w:val="en-US"/>
              </w:rPr>
            </w:pPr>
          </w:p>
        </w:tc>
      </w:tr>
    </w:tbl>
    <w:p w14:paraId="2237F06C" w14:textId="22B9F13E" w:rsidR="00C77881" w:rsidRPr="00BA1D5A" w:rsidRDefault="00C77881">
      <w:pPr>
        <w:rPr>
          <w:rFonts w:ascii="Open Sans" w:hAnsi="Open Sans" w:cs="Open Sans"/>
          <w:sz w:val="20"/>
          <w:szCs w:val="20"/>
        </w:rPr>
      </w:pPr>
    </w:p>
    <w:p w14:paraId="28006D2B" w14:textId="57B6C013" w:rsidR="001C3A48" w:rsidRPr="00BA1D5A"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3A47F246" w:rsidR="00A55295" w:rsidRDefault="00BA1D5A" w:rsidP="009F74AC">
            <w:pPr>
              <w:rPr>
                <w:rFonts w:ascii="Open Sans" w:hAnsi="Open Sans" w:cs="Open Sans"/>
                <w:b/>
                <w:bCs/>
                <w:sz w:val="20"/>
                <w:szCs w:val="20"/>
                <w:lang w:val="en-US"/>
              </w:rPr>
            </w:pPr>
            <w:r>
              <w:rPr>
                <w:rFonts w:ascii="Open Sans" w:hAnsi="Open Sans" w:cs="Open Sans"/>
                <w:b/>
                <w:bCs/>
                <w:sz w:val="20"/>
                <w:szCs w:val="20"/>
                <w:lang w:val="en-US"/>
              </w:rPr>
              <w:t>Our responses have focussed on grant revenue and expenses as this is the area we see as being most relevant and important for NPOs</w:t>
            </w:r>
            <w:r w:rsidR="00BD2F35">
              <w:rPr>
                <w:rFonts w:ascii="Open Sans" w:hAnsi="Open Sans" w:cs="Open Sans"/>
                <w:b/>
                <w:bCs/>
                <w:sz w:val="20"/>
                <w:szCs w:val="20"/>
                <w:lang w:val="en-US"/>
              </w:rPr>
              <w:t xml:space="preserve">, with other points being raised where we identified a need. The remaining questions have been intentionally removed for us to focus on NPO specific comments in our consultation response. </w:t>
            </w:r>
            <w:r w:rsidR="00180B89">
              <w:rPr>
                <w:rFonts w:ascii="Open Sans" w:hAnsi="Open Sans" w:cs="Open Sans"/>
                <w:b/>
                <w:bCs/>
                <w:sz w:val="20"/>
                <w:szCs w:val="20"/>
                <w:lang w:val="en-US"/>
              </w:rPr>
              <w:t xml:space="preserve"> </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0C51" w14:textId="77777777" w:rsidR="00007B2C" w:rsidRDefault="00007B2C" w:rsidP="009F74AC">
      <w:pPr>
        <w:spacing w:after="0" w:line="240" w:lineRule="auto"/>
      </w:pPr>
      <w:r>
        <w:separator/>
      </w:r>
    </w:p>
  </w:endnote>
  <w:endnote w:type="continuationSeparator" w:id="0">
    <w:p w14:paraId="4F838C41" w14:textId="77777777" w:rsidR="00007B2C" w:rsidRDefault="00007B2C" w:rsidP="009F74AC">
      <w:pPr>
        <w:spacing w:after="0" w:line="240" w:lineRule="auto"/>
      </w:pPr>
      <w:r>
        <w:continuationSeparator/>
      </w:r>
    </w:p>
  </w:endnote>
  <w:endnote w:type="continuationNotice" w:id="1">
    <w:p w14:paraId="4BF20B5E" w14:textId="77777777" w:rsidR="00007B2C" w:rsidRDefault="00007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D3DD" w14:textId="77777777" w:rsidR="00007B2C" w:rsidRDefault="00007B2C" w:rsidP="009F74AC">
      <w:pPr>
        <w:spacing w:after="0" w:line="240" w:lineRule="auto"/>
      </w:pPr>
      <w:r>
        <w:separator/>
      </w:r>
    </w:p>
  </w:footnote>
  <w:footnote w:type="continuationSeparator" w:id="0">
    <w:p w14:paraId="0FDF8AB8" w14:textId="77777777" w:rsidR="00007B2C" w:rsidRDefault="00007B2C" w:rsidP="009F74AC">
      <w:pPr>
        <w:spacing w:after="0" w:line="240" w:lineRule="auto"/>
      </w:pPr>
      <w:r>
        <w:continuationSeparator/>
      </w:r>
    </w:p>
  </w:footnote>
  <w:footnote w:type="continuationNotice" w:id="1">
    <w:p w14:paraId="69CB94B7" w14:textId="77777777" w:rsidR="00007B2C" w:rsidRDefault="00007B2C">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9274D"/>
    <w:multiLevelType w:val="hybridMultilevel"/>
    <w:tmpl w:val="03B212B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814AA"/>
    <w:multiLevelType w:val="hybridMultilevel"/>
    <w:tmpl w:val="F03E443C"/>
    <w:lvl w:ilvl="0" w:tplc="1B20DBC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7"/>
  </w:num>
  <w:num w:numId="2" w16cid:durableId="1853909506">
    <w:abstractNumId w:val="4"/>
  </w:num>
  <w:num w:numId="3" w16cid:durableId="223805682">
    <w:abstractNumId w:val="6"/>
  </w:num>
  <w:num w:numId="4" w16cid:durableId="2116900532">
    <w:abstractNumId w:val="15"/>
  </w:num>
  <w:num w:numId="5" w16cid:durableId="150828067">
    <w:abstractNumId w:val="5"/>
  </w:num>
  <w:num w:numId="6" w16cid:durableId="600525856">
    <w:abstractNumId w:val="17"/>
  </w:num>
  <w:num w:numId="7" w16cid:durableId="465851421">
    <w:abstractNumId w:val="14"/>
  </w:num>
  <w:num w:numId="8" w16cid:durableId="779950816">
    <w:abstractNumId w:val="11"/>
  </w:num>
  <w:num w:numId="9" w16cid:durableId="655376644">
    <w:abstractNumId w:val="9"/>
  </w:num>
  <w:num w:numId="10" w16cid:durableId="95449692">
    <w:abstractNumId w:val="13"/>
  </w:num>
  <w:num w:numId="11" w16cid:durableId="1921479045">
    <w:abstractNumId w:val="2"/>
  </w:num>
  <w:num w:numId="12" w16cid:durableId="1551184806">
    <w:abstractNumId w:val="8"/>
  </w:num>
  <w:num w:numId="13" w16cid:durableId="332496726">
    <w:abstractNumId w:val="10"/>
  </w:num>
  <w:num w:numId="14" w16cid:durableId="1580409337">
    <w:abstractNumId w:val="1"/>
  </w:num>
  <w:num w:numId="15" w16cid:durableId="1845776612">
    <w:abstractNumId w:val="16"/>
  </w:num>
  <w:num w:numId="16" w16cid:durableId="781876379">
    <w:abstractNumId w:val="0"/>
  </w:num>
  <w:num w:numId="17" w16cid:durableId="1801991688">
    <w:abstractNumId w:val="3"/>
  </w:num>
  <w:num w:numId="18" w16cid:durableId="832255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64E3E"/>
    <w:rsid w:val="0007287A"/>
    <w:rsid w:val="00076AFC"/>
    <w:rsid w:val="00080D8D"/>
    <w:rsid w:val="00082C3C"/>
    <w:rsid w:val="00093D24"/>
    <w:rsid w:val="000941AE"/>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27D4"/>
    <w:rsid w:val="001550E5"/>
    <w:rsid w:val="00155AC2"/>
    <w:rsid w:val="00180B89"/>
    <w:rsid w:val="00181523"/>
    <w:rsid w:val="0018299E"/>
    <w:rsid w:val="0018792C"/>
    <w:rsid w:val="001948B2"/>
    <w:rsid w:val="001A12FB"/>
    <w:rsid w:val="001A2764"/>
    <w:rsid w:val="001A4180"/>
    <w:rsid w:val="001A5D87"/>
    <w:rsid w:val="001A7494"/>
    <w:rsid w:val="001A7FEC"/>
    <w:rsid w:val="001B2900"/>
    <w:rsid w:val="001B6E16"/>
    <w:rsid w:val="001B7983"/>
    <w:rsid w:val="001C3A48"/>
    <w:rsid w:val="001C7353"/>
    <w:rsid w:val="001D22AB"/>
    <w:rsid w:val="001D2FA7"/>
    <w:rsid w:val="001D5E10"/>
    <w:rsid w:val="001E04DA"/>
    <w:rsid w:val="001E0FE2"/>
    <w:rsid w:val="001E4C60"/>
    <w:rsid w:val="001F512A"/>
    <w:rsid w:val="0020106B"/>
    <w:rsid w:val="0020260D"/>
    <w:rsid w:val="002029D4"/>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2F0537"/>
    <w:rsid w:val="00320F61"/>
    <w:rsid w:val="00326516"/>
    <w:rsid w:val="003325FA"/>
    <w:rsid w:val="00336705"/>
    <w:rsid w:val="003403BD"/>
    <w:rsid w:val="0035010D"/>
    <w:rsid w:val="00354A3A"/>
    <w:rsid w:val="0036486E"/>
    <w:rsid w:val="003745FB"/>
    <w:rsid w:val="00374B59"/>
    <w:rsid w:val="003755E7"/>
    <w:rsid w:val="003939BC"/>
    <w:rsid w:val="003A0428"/>
    <w:rsid w:val="003A1EEF"/>
    <w:rsid w:val="003B33EC"/>
    <w:rsid w:val="003C392D"/>
    <w:rsid w:val="003C7B7A"/>
    <w:rsid w:val="003E10EA"/>
    <w:rsid w:val="00417841"/>
    <w:rsid w:val="0042219B"/>
    <w:rsid w:val="004351A8"/>
    <w:rsid w:val="004437B6"/>
    <w:rsid w:val="004441A6"/>
    <w:rsid w:val="00445705"/>
    <w:rsid w:val="00457A9A"/>
    <w:rsid w:val="00463CE5"/>
    <w:rsid w:val="00464B62"/>
    <w:rsid w:val="004759D7"/>
    <w:rsid w:val="00480EB8"/>
    <w:rsid w:val="00484CCF"/>
    <w:rsid w:val="00487BFC"/>
    <w:rsid w:val="004933C9"/>
    <w:rsid w:val="004A3A1F"/>
    <w:rsid w:val="004C138C"/>
    <w:rsid w:val="004E764D"/>
    <w:rsid w:val="004F7AC8"/>
    <w:rsid w:val="00512D54"/>
    <w:rsid w:val="00515388"/>
    <w:rsid w:val="00522012"/>
    <w:rsid w:val="005247D7"/>
    <w:rsid w:val="005266FA"/>
    <w:rsid w:val="00534C10"/>
    <w:rsid w:val="0053637E"/>
    <w:rsid w:val="00546090"/>
    <w:rsid w:val="0054631C"/>
    <w:rsid w:val="005476F2"/>
    <w:rsid w:val="00563EEE"/>
    <w:rsid w:val="0056475E"/>
    <w:rsid w:val="00566E32"/>
    <w:rsid w:val="00581C73"/>
    <w:rsid w:val="00587709"/>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024D"/>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6F32CA"/>
    <w:rsid w:val="0070517A"/>
    <w:rsid w:val="007076A7"/>
    <w:rsid w:val="0071084D"/>
    <w:rsid w:val="00710CE2"/>
    <w:rsid w:val="00713C32"/>
    <w:rsid w:val="0072417A"/>
    <w:rsid w:val="0072594C"/>
    <w:rsid w:val="007271BB"/>
    <w:rsid w:val="007279C0"/>
    <w:rsid w:val="007312A9"/>
    <w:rsid w:val="007370DD"/>
    <w:rsid w:val="00754448"/>
    <w:rsid w:val="007661F1"/>
    <w:rsid w:val="00766929"/>
    <w:rsid w:val="00770D24"/>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3F77"/>
    <w:rsid w:val="0088436D"/>
    <w:rsid w:val="008A1B93"/>
    <w:rsid w:val="008A350D"/>
    <w:rsid w:val="008C6B40"/>
    <w:rsid w:val="008C7009"/>
    <w:rsid w:val="008C76B2"/>
    <w:rsid w:val="008E43FF"/>
    <w:rsid w:val="008F48DE"/>
    <w:rsid w:val="0090535E"/>
    <w:rsid w:val="00907EE8"/>
    <w:rsid w:val="00910B2B"/>
    <w:rsid w:val="009146D1"/>
    <w:rsid w:val="00915B4B"/>
    <w:rsid w:val="009208E2"/>
    <w:rsid w:val="00925D37"/>
    <w:rsid w:val="009313BE"/>
    <w:rsid w:val="00931959"/>
    <w:rsid w:val="00943505"/>
    <w:rsid w:val="00947E53"/>
    <w:rsid w:val="0095564D"/>
    <w:rsid w:val="00962E82"/>
    <w:rsid w:val="009635D3"/>
    <w:rsid w:val="00973D7F"/>
    <w:rsid w:val="00980F3D"/>
    <w:rsid w:val="00993FE3"/>
    <w:rsid w:val="0099616F"/>
    <w:rsid w:val="00997746"/>
    <w:rsid w:val="009A11AA"/>
    <w:rsid w:val="009A5255"/>
    <w:rsid w:val="009A5B0D"/>
    <w:rsid w:val="009B0BE0"/>
    <w:rsid w:val="009B3349"/>
    <w:rsid w:val="009C5079"/>
    <w:rsid w:val="009C6642"/>
    <w:rsid w:val="009D1DE9"/>
    <w:rsid w:val="009D21FA"/>
    <w:rsid w:val="009D2751"/>
    <w:rsid w:val="009D5588"/>
    <w:rsid w:val="009D56E6"/>
    <w:rsid w:val="009D7C93"/>
    <w:rsid w:val="009F66D3"/>
    <w:rsid w:val="009F74AC"/>
    <w:rsid w:val="00A039B2"/>
    <w:rsid w:val="00A07D43"/>
    <w:rsid w:val="00A15E58"/>
    <w:rsid w:val="00A17864"/>
    <w:rsid w:val="00A22952"/>
    <w:rsid w:val="00A276B0"/>
    <w:rsid w:val="00A30143"/>
    <w:rsid w:val="00A34374"/>
    <w:rsid w:val="00A40D48"/>
    <w:rsid w:val="00A55295"/>
    <w:rsid w:val="00A5651A"/>
    <w:rsid w:val="00A566A1"/>
    <w:rsid w:val="00A60258"/>
    <w:rsid w:val="00A61E1B"/>
    <w:rsid w:val="00A63109"/>
    <w:rsid w:val="00A63EF0"/>
    <w:rsid w:val="00A668F6"/>
    <w:rsid w:val="00A770F0"/>
    <w:rsid w:val="00A7789F"/>
    <w:rsid w:val="00A81C55"/>
    <w:rsid w:val="00A824AB"/>
    <w:rsid w:val="00A84272"/>
    <w:rsid w:val="00A8654E"/>
    <w:rsid w:val="00A96E23"/>
    <w:rsid w:val="00A97EFD"/>
    <w:rsid w:val="00AB5BDD"/>
    <w:rsid w:val="00AC4F2A"/>
    <w:rsid w:val="00AC6610"/>
    <w:rsid w:val="00AD01FF"/>
    <w:rsid w:val="00AF3E68"/>
    <w:rsid w:val="00B14710"/>
    <w:rsid w:val="00B258B3"/>
    <w:rsid w:val="00B471E4"/>
    <w:rsid w:val="00B500B2"/>
    <w:rsid w:val="00B54007"/>
    <w:rsid w:val="00B552CD"/>
    <w:rsid w:val="00B62A32"/>
    <w:rsid w:val="00B653D9"/>
    <w:rsid w:val="00B67D80"/>
    <w:rsid w:val="00B7188B"/>
    <w:rsid w:val="00B738D5"/>
    <w:rsid w:val="00B83B74"/>
    <w:rsid w:val="00B91FEA"/>
    <w:rsid w:val="00B9538E"/>
    <w:rsid w:val="00B96DA6"/>
    <w:rsid w:val="00BA1536"/>
    <w:rsid w:val="00BA1D5A"/>
    <w:rsid w:val="00BA2063"/>
    <w:rsid w:val="00BB7DF4"/>
    <w:rsid w:val="00BC00E7"/>
    <w:rsid w:val="00BC308D"/>
    <w:rsid w:val="00BC4F7F"/>
    <w:rsid w:val="00BD09CA"/>
    <w:rsid w:val="00BD168A"/>
    <w:rsid w:val="00BD2F35"/>
    <w:rsid w:val="00BD4691"/>
    <w:rsid w:val="00BE132D"/>
    <w:rsid w:val="00BF437E"/>
    <w:rsid w:val="00C3346C"/>
    <w:rsid w:val="00C340C6"/>
    <w:rsid w:val="00C448D7"/>
    <w:rsid w:val="00C46B24"/>
    <w:rsid w:val="00C46F27"/>
    <w:rsid w:val="00C52308"/>
    <w:rsid w:val="00C5292F"/>
    <w:rsid w:val="00C66202"/>
    <w:rsid w:val="00C70D93"/>
    <w:rsid w:val="00C70E46"/>
    <w:rsid w:val="00C77881"/>
    <w:rsid w:val="00C8003A"/>
    <w:rsid w:val="00C806B8"/>
    <w:rsid w:val="00C95766"/>
    <w:rsid w:val="00CA5E81"/>
    <w:rsid w:val="00CA66E2"/>
    <w:rsid w:val="00CB6DFA"/>
    <w:rsid w:val="00CC2D7B"/>
    <w:rsid w:val="00CC7FF9"/>
    <w:rsid w:val="00CD76D9"/>
    <w:rsid w:val="00CE1CA8"/>
    <w:rsid w:val="00CE4073"/>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74D76"/>
    <w:rsid w:val="00D75931"/>
    <w:rsid w:val="00D8539B"/>
    <w:rsid w:val="00D90216"/>
    <w:rsid w:val="00DA372C"/>
    <w:rsid w:val="00DA5B5F"/>
    <w:rsid w:val="00DB1FA3"/>
    <w:rsid w:val="00DB7739"/>
    <w:rsid w:val="00DC3687"/>
    <w:rsid w:val="00DF47D7"/>
    <w:rsid w:val="00E0347C"/>
    <w:rsid w:val="00E11EDA"/>
    <w:rsid w:val="00E162A0"/>
    <w:rsid w:val="00E162AE"/>
    <w:rsid w:val="00E16F52"/>
    <w:rsid w:val="00E201D7"/>
    <w:rsid w:val="00E2525C"/>
    <w:rsid w:val="00E34C92"/>
    <w:rsid w:val="00E36F6E"/>
    <w:rsid w:val="00E448B2"/>
    <w:rsid w:val="00E457F1"/>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EF5846"/>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k.sladden@rsmu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Laura Milner</cp:lastModifiedBy>
  <cp:revision>6</cp:revision>
  <dcterms:created xsi:type="dcterms:W3CDTF">2024-03-12T08:46:00Z</dcterms:created>
  <dcterms:modified xsi:type="dcterms:W3CDTF">2024-03-14T10:41:00Z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y fmtid="{D5CDD505-2E9C-101B-9397-08002B2CF9AE}" pid="5" name="PSLTemplateName">
    <vt:lpwstr>Normal</vt:lpwstr>
  </property>
</Properties>
</file>