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A220E96" w:rsidR="00F6667F" w:rsidRPr="00EB6705" w:rsidRDefault="00030B88">
            <w:pPr>
              <w:rPr>
                <w:rFonts w:ascii="Open Sans" w:hAnsi="Open Sans" w:cs="Open Sans"/>
                <w:sz w:val="20"/>
                <w:szCs w:val="20"/>
              </w:rPr>
            </w:pPr>
            <w:r>
              <w:rPr>
                <w:rFonts w:ascii="Open Sans" w:hAnsi="Open Sans" w:cs="Open Sans"/>
                <w:sz w:val="20"/>
                <w:szCs w:val="20"/>
              </w:rPr>
              <w:t>David</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6FE3538A" w:rsidR="00F6667F" w:rsidRPr="00EB6705" w:rsidRDefault="00030B88">
            <w:pPr>
              <w:rPr>
                <w:rFonts w:ascii="Open Sans" w:hAnsi="Open Sans" w:cs="Open Sans"/>
                <w:sz w:val="20"/>
                <w:szCs w:val="20"/>
              </w:rPr>
            </w:pPr>
            <w:r>
              <w:rPr>
                <w:rFonts w:ascii="Open Sans" w:hAnsi="Open Sans" w:cs="Open Sans"/>
                <w:sz w:val="20"/>
                <w:szCs w:val="20"/>
              </w:rPr>
              <w:t>Individual</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48052BD1" w:rsidR="00DB7739" w:rsidRPr="00EB6705" w:rsidRDefault="00030B88">
            <w:pPr>
              <w:rPr>
                <w:rFonts w:ascii="Open Sans" w:hAnsi="Open Sans" w:cs="Open Sans"/>
                <w:sz w:val="20"/>
                <w:szCs w:val="20"/>
              </w:rPr>
            </w:pPr>
            <w:r>
              <w:rPr>
                <w:rFonts w:ascii="Open Sans" w:hAnsi="Open Sans" w:cs="Open Sans"/>
                <w:sz w:val="20"/>
                <w:szCs w:val="20"/>
              </w:rPr>
              <w:t>Hardidge</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370579FD" w:rsidR="00DB7739" w:rsidRPr="00EB6705" w:rsidRDefault="00030B88">
            <w:pPr>
              <w:rPr>
                <w:rFonts w:ascii="Open Sans" w:hAnsi="Open Sans" w:cs="Open Sans"/>
                <w:sz w:val="20"/>
                <w:szCs w:val="20"/>
              </w:rPr>
            </w:pPr>
            <w:r>
              <w:rPr>
                <w:rFonts w:ascii="Open Sans" w:hAnsi="Open Sans" w:cs="Open Sans"/>
                <w:sz w:val="20"/>
                <w:szCs w:val="20"/>
              </w:rPr>
              <w:t>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6E87AD0E" w:rsidR="000C4E37" w:rsidRDefault="00030B88" w:rsidP="000C4E37">
            <w:pPr>
              <w:rPr>
                <w:rFonts w:ascii="Open Sans" w:hAnsi="Open Sans" w:cs="Open Sans"/>
                <w:sz w:val="20"/>
                <w:szCs w:val="20"/>
              </w:rPr>
            </w:pPr>
            <w:r>
              <w:rPr>
                <w:rFonts w:ascii="Open Sans" w:hAnsi="Open Sans" w:cs="Open Sans"/>
                <w:sz w:val="20"/>
                <w:szCs w:val="20"/>
              </w:rPr>
              <w:t>dhardidge@iinet.net.au</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08AD1391" w:rsidR="000C4E37" w:rsidRPr="00EB6705" w:rsidRDefault="00030B88" w:rsidP="000C4E37">
            <w:pPr>
              <w:rPr>
                <w:rFonts w:ascii="Open Sans" w:hAnsi="Open Sans" w:cs="Open Sans"/>
                <w:sz w:val="20"/>
                <w:szCs w:val="20"/>
              </w:rPr>
            </w:pPr>
            <w:r>
              <w:rPr>
                <w:rFonts w:ascii="Open Sans" w:hAnsi="Open Sans" w:cs="Open Sans"/>
                <w:sz w:val="20"/>
                <w:szCs w:val="20"/>
              </w:rPr>
              <w:t>Australia</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17A9D13" w:rsidR="000C4E37" w:rsidRPr="00EB6705" w:rsidRDefault="00030B88" w:rsidP="000C4E37">
            <w:pPr>
              <w:rPr>
                <w:rFonts w:ascii="Open Sans" w:hAnsi="Open Sans" w:cs="Open Sans"/>
                <w:sz w:val="20"/>
                <w:szCs w:val="20"/>
              </w:rPr>
            </w:pPr>
            <w:r>
              <w:rPr>
                <w:rFonts w:ascii="Open Sans" w:hAnsi="Open Sans" w:cs="Open Sans"/>
                <w:sz w:val="20"/>
                <w:szCs w:val="20"/>
              </w:rPr>
              <w:t>N/A</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627F4E57" w:rsidR="000C4E37" w:rsidRPr="00EB6705" w:rsidRDefault="00030B88" w:rsidP="000C4E37">
            <w:pPr>
              <w:rPr>
                <w:rFonts w:ascii="Open Sans" w:hAnsi="Open Sans" w:cs="Open Sans"/>
                <w:sz w:val="20"/>
                <w:szCs w:val="20"/>
              </w:rPr>
            </w:pPr>
            <w:r>
              <w:rPr>
                <w:rFonts w:ascii="Open Sans" w:hAnsi="Open Sans" w:cs="Open Sans"/>
                <w:sz w:val="20"/>
                <w:szCs w:val="20"/>
              </w:rPr>
              <w:t>Auditor</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3F8F388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r w:rsidR="00030B88">
              <w:rPr>
                <w:rFonts w:ascii="Open Sans" w:hAnsi="Open Sans" w:cs="Open Sans"/>
                <w:bCs/>
                <w:color w:val="000000"/>
                <w:sz w:val="20"/>
                <w:szCs w:val="20"/>
              </w:rPr>
              <w:t xml:space="preserve">       </w:t>
            </w:r>
            <w:r w:rsidR="00030B88">
              <w:rPr>
                <w:rFonts w:ascii="Open Sans" w:hAnsi="Open Sans" w:cs="Open Sans"/>
                <w:bCs/>
                <w:noProof/>
                <w:color w:val="000000"/>
                <w:sz w:val="20"/>
                <w:szCs w:val="20"/>
              </w:rPr>
              <w:drawing>
                <wp:inline distT="0" distB="0" distL="0" distR="0" wp14:anchorId="747984A9" wp14:editId="299D76B5">
                  <wp:extent cx="180975" cy="180975"/>
                  <wp:effectExtent l="0" t="0" r="9525" b="9525"/>
                  <wp:docPr id="1379012715"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12715" name="Graphic 1379012715"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3002" cy="183002"/>
                          </a:xfrm>
                          <a:prstGeom prst="rect">
                            <a:avLst/>
                          </a:prstGeom>
                        </pic:spPr>
                      </pic:pic>
                    </a:graphicData>
                  </a:graphic>
                </wp:inline>
              </w:drawing>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271B14F" w14:textId="77777777" w:rsidR="00A7789F" w:rsidRPr="00030B88" w:rsidRDefault="00030B88" w:rsidP="00A959C4">
            <w:pPr>
              <w:jc w:val="both"/>
              <w:rPr>
                <w:rFonts w:ascii="Open Sans" w:hAnsi="Open Sans" w:cs="Open Sans"/>
                <w:sz w:val="20"/>
                <w:szCs w:val="20"/>
                <w:lang w:val="en-US"/>
              </w:rPr>
            </w:pPr>
            <w:r w:rsidRPr="00030B88">
              <w:rPr>
                <w:rFonts w:ascii="Open Sans" w:hAnsi="Open Sans" w:cs="Open Sans"/>
                <w:sz w:val="20"/>
                <w:szCs w:val="20"/>
                <w:lang w:val="en-US"/>
              </w:rPr>
              <w:t>I agree.</w:t>
            </w:r>
          </w:p>
          <w:p w14:paraId="5AD37EA5" w14:textId="77777777" w:rsidR="00030B88" w:rsidRPr="00030B88" w:rsidRDefault="00030B88" w:rsidP="00A959C4">
            <w:pPr>
              <w:jc w:val="both"/>
              <w:rPr>
                <w:rFonts w:ascii="Open Sans" w:hAnsi="Open Sans" w:cs="Open Sans"/>
                <w:sz w:val="20"/>
                <w:szCs w:val="20"/>
                <w:lang w:val="en-US"/>
              </w:rPr>
            </w:pPr>
          </w:p>
          <w:p w14:paraId="357C2019" w14:textId="77777777" w:rsidR="00030B88" w:rsidRPr="00030B88" w:rsidRDefault="00030B88" w:rsidP="00A959C4">
            <w:pPr>
              <w:jc w:val="both"/>
              <w:rPr>
                <w:rFonts w:ascii="Open Sans" w:hAnsi="Open Sans" w:cs="Open Sans"/>
                <w:sz w:val="20"/>
                <w:szCs w:val="20"/>
                <w:lang w:val="en-US"/>
              </w:rPr>
            </w:pPr>
            <w:r w:rsidRPr="00030B88">
              <w:rPr>
                <w:rFonts w:ascii="Open Sans" w:hAnsi="Open Sans" w:cs="Open Sans"/>
                <w:sz w:val="20"/>
                <w:szCs w:val="20"/>
                <w:lang w:val="en-US"/>
              </w:rPr>
              <w:t>I suggest that the IASB project on the PIR for IFRS 9 on classification and measurement be monitored for “ESG” loans, as such loans may not meet the definition of a basic financial instrument.</w:t>
            </w:r>
          </w:p>
          <w:p w14:paraId="5EF1D752" w14:textId="77777777" w:rsidR="00030B88" w:rsidRPr="00EB6705" w:rsidRDefault="00030B88"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8E57EF" w:rsidRDefault="00221A16" w:rsidP="00FE20EA">
            <w:pPr>
              <w:rPr>
                <w:rFonts w:ascii="Open Sans" w:hAnsi="Open Sans" w:cs="Open Sans"/>
                <w:sz w:val="20"/>
                <w:szCs w:val="20"/>
              </w:rPr>
            </w:pPr>
            <w:r w:rsidRPr="008E57EF">
              <w:rPr>
                <w:rFonts w:ascii="Open Sans" w:hAnsi="Open Sans" w:cs="Open Sans"/>
                <w:sz w:val="20"/>
                <w:szCs w:val="20"/>
              </w:rPr>
              <w:t>G13.1</w:t>
            </w:r>
          </w:p>
        </w:tc>
        <w:tc>
          <w:tcPr>
            <w:tcW w:w="8173" w:type="dxa"/>
            <w:vAlign w:val="center"/>
          </w:tcPr>
          <w:p w14:paraId="3750ADEC" w14:textId="77777777" w:rsidR="00FE20EA" w:rsidRDefault="008E57EF" w:rsidP="00D90216">
            <w:pPr>
              <w:spacing w:before="120" w:after="120"/>
              <w:rPr>
                <w:rFonts w:ascii="Open Sans" w:hAnsi="Open Sans" w:cs="Open Sans"/>
                <w:sz w:val="20"/>
                <w:szCs w:val="20"/>
              </w:rPr>
            </w:pPr>
            <w:r>
              <w:rPr>
                <w:rFonts w:ascii="Open Sans" w:hAnsi="Open Sans" w:cs="Open Sans"/>
                <w:sz w:val="20"/>
                <w:szCs w:val="20"/>
              </w:rPr>
              <w:t>I agree.</w:t>
            </w:r>
          </w:p>
          <w:p w14:paraId="7037DCA0" w14:textId="2A17D71E" w:rsidR="008E57EF" w:rsidRDefault="008E57EF" w:rsidP="00D90216">
            <w:pPr>
              <w:spacing w:before="120" w:after="120"/>
              <w:rPr>
                <w:rFonts w:ascii="Open Sans" w:hAnsi="Open Sans" w:cs="Open Sans"/>
                <w:sz w:val="20"/>
                <w:szCs w:val="20"/>
              </w:rPr>
            </w:pPr>
            <w:r>
              <w:rPr>
                <w:rFonts w:ascii="Open Sans" w:hAnsi="Open Sans" w:cs="Open Sans"/>
                <w:sz w:val="20"/>
                <w:szCs w:val="20"/>
              </w:rPr>
              <w:t>The inclusion of inventories for distribution was a specific NFP amendment made for Australian standards.</w:t>
            </w:r>
          </w:p>
          <w:p w14:paraId="76DF1CE6" w14:textId="77777777" w:rsidR="008E57EF" w:rsidRPr="008E57EF" w:rsidRDefault="008E57EF" w:rsidP="00D90216">
            <w:pPr>
              <w:spacing w:before="120" w:after="120"/>
              <w:rPr>
                <w:rFonts w:ascii="Open Sans" w:hAnsi="Open Sans" w:cs="Open Sans"/>
                <w:sz w:val="20"/>
                <w:szCs w:val="20"/>
              </w:rPr>
            </w:pP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6EDC7E98" w14:textId="77777777" w:rsidR="00A7789F" w:rsidRDefault="008E57EF" w:rsidP="005476F2">
            <w:pPr>
              <w:spacing w:before="120" w:after="120"/>
              <w:rPr>
                <w:rFonts w:ascii="Open Sans" w:hAnsi="Open Sans" w:cs="Open Sans"/>
                <w:sz w:val="20"/>
                <w:szCs w:val="20"/>
                <w:lang w:val="en-US"/>
              </w:rPr>
            </w:pPr>
            <w:r w:rsidRPr="008E57EF">
              <w:rPr>
                <w:rFonts w:ascii="Open Sans" w:hAnsi="Open Sans" w:cs="Open Sans"/>
                <w:sz w:val="20"/>
                <w:szCs w:val="20"/>
                <w:lang w:val="en-US"/>
              </w:rPr>
              <w:t xml:space="preserve">I agree with the permitted </w:t>
            </w:r>
            <w:r>
              <w:rPr>
                <w:rFonts w:ascii="Open Sans" w:hAnsi="Open Sans" w:cs="Open Sans"/>
                <w:sz w:val="20"/>
                <w:szCs w:val="20"/>
                <w:lang w:val="en-US"/>
              </w:rPr>
              <w:t>exceptions.</w:t>
            </w:r>
          </w:p>
          <w:p w14:paraId="1D8BD165" w14:textId="77777777" w:rsidR="008E57EF" w:rsidRDefault="008E57EF" w:rsidP="005476F2">
            <w:pPr>
              <w:spacing w:before="120" w:after="120"/>
              <w:rPr>
                <w:rFonts w:ascii="Open Sans" w:hAnsi="Open Sans" w:cs="Open Sans"/>
                <w:sz w:val="20"/>
                <w:szCs w:val="20"/>
                <w:lang w:val="en-US"/>
              </w:rPr>
            </w:pPr>
          </w:p>
          <w:p w14:paraId="17E8030D" w14:textId="7E5C8999" w:rsidR="008E57EF" w:rsidRPr="008E57EF" w:rsidRDefault="008E57EF" w:rsidP="005476F2">
            <w:pPr>
              <w:spacing w:before="120" w:after="120"/>
              <w:rPr>
                <w:rFonts w:ascii="Open Sans" w:hAnsi="Open Sans" w:cs="Open Sans"/>
                <w:sz w:val="20"/>
                <w:szCs w:val="20"/>
                <w:lang w:val="en-US"/>
              </w:rPr>
            </w:pPr>
            <w:r>
              <w:rPr>
                <w:rFonts w:ascii="Open Sans" w:hAnsi="Open Sans" w:cs="Open Sans"/>
                <w:sz w:val="20"/>
                <w:szCs w:val="20"/>
                <w:lang w:val="en-US"/>
              </w:rPr>
              <w:t>I would suggest clarifying that the exceptions can be applied at the individual item. Specifically, low-value is applied to each item, not a class of low-value items.</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6110DA1A" w14:textId="77777777" w:rsidR="00D61337" w:rsidRPr="008E57EF" w:rsidRDefault="008E57EF" w:rsidP="005476F2">
            <w:pPr>
              <w:spacing w:before="120" w:after="120"/>
              <w:rPr>
                <w:rFonts w:ascii="Open Sans" w:hAnsi="Open Sans" w:cs="Open Sans"/>
                <w:sz w:val="20"/>
                <w:szCs w:val="20"/>
                <w:lang w:val="en-US"/>
              </w:rPr>
            </w:pPr>
            <w:r w:rsidRPr="008E57EF">
              <w:rPr>
                <w:rFonts w:ascii="Open Sans" w:hAnsi="Open Sans" w:cs="Open Sans"/>
                <w:sz w:val="20"/>
                <w:szCs w:val="20"/>
                <w:lang w:val="en-US"/>
              </w:rPr>
              <w:t>I do not agree.</w:t>
            </w:r>
          </w:p>
          <w:p w14:paraId="3E48F1EC" w14:textId="77777777" w:rsidR="008E57EF" w:rsidRDefault="008E57EF" w:rsidP="008E57EF">
            <w:pPr>
              <w:spacing w:before="120" w:after="120"/>
              <w:rPr>
                <w:rFonts w:ascii="Open Sans" w:hAnsi="Open Sans" w:cs="Open Sans"/>
                <w:sz w:val="20"/>
                <w:szCs w:val="20"/>
                <w:lang w:val="en-US"/>
              </w:rPr>
            </w:pPr>
            <w:r w:rsidRPr="008E57EF">
              <w:rPr>
                <w:rFonts w:ascii="Open Sans" w:hAnsi="Open Sans" w:cs="Open Sans"/>
                <w:sz w:val="20"/>
                <w:szCs w:val="20"/>
                <w:lang w:val="en-US"/>
              </w:rPr>
              <w:t>Inventory (or at least high-value inventory) should only be valued at fair value, instead of cost, if cost is significantly less than fair value</w:t>
            </w:r>
            <w:r>
              <w:rPr>
                <w:rFonts w:ascii="Open Sans" w:hAnsi="Open Sans" w:cs="Open Sans"/>
                <w:sz w:val="20"/>
                <w:szCs w:val="20"/>
                <w:lang w:val="en-US"/>
              </w:rPr>
              <w:t>. This provides an easy threshold for determining when extra resources and cost have to be used to determine fair value.</w:t>
            </w:r>
          </w:p>
          <w:p w14:paraId="430516A3" w14:textId="77777777" w:rsidR="008E57EF" w:rsidRPr="00EB6705" w:rsidRDefault="008E57EF" w:rsidP="008E57EF">
            <w:pPr>
              <w:spacing w:before="120" w:after="120"/>
              <w:rPr>
                <w:rFonts w:ascii="Open Sans" w:hAnsi="Open Sans" w:cs="Open Sans"/>
                <w:b/>
                <w:bCs/>
                <w:sz w:val="20"/>
                <w:szCs w:val="20"/>
                <w:lang w:val="en-US"/>
              </w:rPr>
            </w:pP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 xml:space="preserve">Do you agree that inventories that are held for distribution at no or nominal </w:t>
            </w:r>
            <w:r w:rsidRPr="00374B59">
              <w:rPr>
                <w:rFonts w:ascii="Open Sans" w:hAnsi="Open Sans" w:cs="Open Sans"/>
                <w:sz w:val="20"/>
                <w:szCs w:val="20"/>
              </w:rPr>
              <w:lastRenderedPageBreak/>
              <w:t>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lastRenderedPageBreak/>
              <w:t>G13.8</w:t>
            </w:r>
          </w:p>
        </w:tc>
        <w:tc>
          <w:tcPr>
            <w:tcW w:w="8173" w:type="dxa"/>
          </w:tcPr>
          <w:p w14:paraId="43F34E5D" w14:textId="506B4A74" w:rsidR="00D61337" w:rsidRPr="008E57EF" w:rsidRDefault="008E57EF" w:rsidP="005476F2">
            <w:pPr>
              <w:spacing w:before="120" w:after="120"/>
              <w:rPr>
                <w:rFonts w:ascii="Open Sans" w:hAnsi="Open Sans" w:cs="Open Sans"/>
                <w:sz w:val="20"/>
                <w:szCs w:val="20"/>
                <w:lang w:val="en-US"/>
              </w:rPr>
            </w:pPr>
            <w:r w:rsidRPr="008E57EF">
              <w:rPr>
                <w:rFonts w:ascii="Open Sans" w:hAnsi="Open Sans" w:cs="Open Sans"/>
                <w:sz w:val="20"/>
                <w:szCs w:val="20"/>
                <w:lang w:val="en-US"/>
              </w:rPr>
              <w:t>I agree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65042310" w:rsidR="00D61337" w:rsidRPr="00A00739" w:rsidRDefault="00A00739" w:rsidP="005476F2">
            <w:pPr>
              <w:spacing w:before="120" w:after="120"/>
              <w:rPr>
                <w:rFonts w:ascii="Open Sans" w:hAnsi="Open Sans" w:cs="Open Sans"/>
                <w:sz w:val="20"/>
                <w:szCs w:val="20"/>
                <w:lang w:val="en-US"/>
              </w:rPr>
            </w:pPr>
            <w:r w:rsidRPr="00A00739">
              <w:rPr>
                <w:rFonts w:ascii="Open Sans" w:hAnsi="Open Sans" w:cs="Open Sans"/>
                <w:sz w:val="20"/>
                <w:szCs w:val="20"/>
                <w:lang w:val="en-US"/>
              </w:rPr>
              <w:t>I agree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w:t>
            </w:r>
            <w:r w:rsidRPr="002C18D0">
              <w:rPr>
                <w:rFonts w:ascii="Open Sans" w:hAnsi="Open Sans" w:cs="Open Sans"/>
                <w:sz w:val="20"/>
                <w:szCs w:val="20"/>
              </w:rPr>
              <w:lastRenderedPageBreak/>
              <w:t>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lastRenderedPageBreak/>
              <w:t>Section 21, Illustrative example 3</w:t>
            </w:r>
          </w:p>
        </w:tc>
        <w:tc>
          <w:tcPr>
            <w:tcW w:w="8282" w:type="dxa"/>
            <w:vAlign w:val="center"/>
          </w:tcPr>
          <w:p w14:paraId="0F68D976" w14:textId="77777777" w:rsidR="00FE20EA" w:rsidRPr="00A00739" w:rsidRDefault="00A00739" w:rsidP="00E36F6E">
            <w:pPr>
              <w:rPr>
                <w:rFonts w:ascii="Open Sans" w:hAnsi="Open Sans" w:cs="Open Sans"/>
                <w:sz w:val="20"/>
                <w:szCs w:val="20"/>
                <w:lang w:val="en-US"/>
              </w:rPr>
            </w:pPr>
            <w:r w:rsidRPr="00A00739">
              <w:rPr>
                <w:rFonts w:ascii="Open Sans" w:hAnsi="Open Sans" w:cs="Open Sans"/>
                <w:sz w:val="20"/>
                <w:szCs w:val="20"/>
                <w:lang w:val="en-US"/>
              </w:rPr>
              <w:t>I found the new Example 3 (onerous contracts with FX grant) confusing. It seemed to require consideration of future grant receipts (FX) and future payments (local currency) though this was not clear.</w:t>
            </w:r>
          </w:p>
          <w:p w14:paraId="5E9ECF01" w14:textId="77777777" w:rsidR="00A00739" w:rsidRPr="00A00739" w:rsidRDefault="00A00739" w:rsidP="00E36F6E">
            <w:pPr>
              <w:rPr>
                <w:rFonts w:ascii="Open Sans" w:hAnsi="Open Sans" w:cs="Open Sans"/>
                <w:sz w:val="20"/>
                <w:szCs w:val="20"/>
                <w:lang w:val="en-US"/>
              </w:rPr>
            </w:pPr>
          </w:p>
          <w:p w14:paraId="7C8B9F39" w14:textId="126C3074" w:rsidR="00A00739" w:rsidRPr="00EB6705" w:rsidRDefault="00A00739" w:rsidP="00E36F6E">
            <w:pPr>
              <w:rPr>
                <w:rFonts w:ascii="Open Sans" w:hAnsi="Open Sans" w:cs="Open Sans"/>
                <w:b/>
                <w:bCs/>
                <w:sz w:val="20"/>
                <w:szCs w:val="20"/>
                <w:lang w:val="en-US"/>
              </w:rPr>
            </w:pPr>
            <w:r w:rsidRPr="00A00739">
              <w:rPr>
                <w:rFonts w:ascii="Open Sans" w:hAnsi="Open Sans" w:cs="Open Sans"/>
                <w:sz w:val="20"/>
                <w:szCs w:val="20"/>
                <w:lang w:val="en-US"/>
              </w:rPr>
              <w:t>Another grant, where the funds were provided in a foreign currency at commencement (original exchange rate), but retained in a bank account, and spent in foreign currency – would not lead to an onerous contract. Even if the funds were fixed.</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Pr="0072594C">
              <w:rPr>
                <w:rFonts w:ascii="Open Sans" w:hAnsi="Open Sans" w:cs="Open Sans"/>
                <w:color w:val="000000" w:themeColor="text1"/>
                <w:sz w:val="20"/>
                <w:szCs w:val="20"/>
              </w:rPr>
              <w:t xml:space="preserve">  It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lastRenderedPageBreak/>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58926539" w14:textId="62F80A2A" w:rsidR="0054631C" w:rsidRDefault="00C76DB8" w:rsidP="00FE20EA">
            <w:pPr>
              <w:rPr>
                <w:rFonts w:ascii="Open Sans" w:hAnsi="Open Sans" w:cs="Open Sans"/>
                <w:sz w:val="20"/>
                <w:szCs w:val="20"/>
                <w:lang w:val="en-US"/>
              </w:rPr>
            </w:pPr>
            <w:r>
              <w:rPr>
                <w:rFonts w:ascii="Open Sans" w:hAnsi="Open Sans" w:cs="Open Sans"/>
                <w:sz w:val="20"/>
                <w:szCs w:val="20"/>
                <w:lang w:val="en-US"/>
              </w:rPr>
              <w:t xml:space="preserve">I generally </w:t>
            </w:r>
            <w:r w:rsidR="001453AF" w:rsidRPr="001453AF">
              <w:rPr>
                <w:rFonts w:ascii="Open Sans" w:hAnsi="Open Sans" w:cs="Open Sans"/>
                <w:sz w:val="20"/>
                <w:szCs w:val="20"/>
                <w:lang w:val="en-US"/>
              </w:rPr>
              <w:t>agree</w:t>
            </w:r>
            <w:r>
              <w:rPr>
                <w:rFonts w:ascii="Open Sans" w:hAnsi="Open Sans" w:cs="Open Sans"/>
                <w:sz w:val="20"/>
                <w:szCs w:val="20"/>
                <w:lang w:val="en-US"/>
              </w:rPr>
              <w:t>.</w:t>
            </w:r>
          </w:p>
          <w:p w14:paraId="0908F7D6" w14:textId="77777777" w:rsidR="00C76DB8" w:rsidRDefault="00C76DB8" w:rsidP="00FE20EA">
            <w:pPr>
              <w:rPr>
                <w:rFonts w:ascii="Open Sans" w:hAnsi="Open Sans" w:cs="Open Sans"/>
                <w:sz w:val="20"/>
                <w:szCs w:val="20"/>
                <w:lang w:val="en-US"/>
              </w:rPr>
            </w:pPr>
          </w:p>
          <w:p w14:paraId="38188B02" w14:textId="411E2119" w:rsidR="00C76DB8" w:rsidRPr="00CC250B" w:rsidRDefault="00C76DB8" w:rsidP="00C76DB8">
            <w:pPr>
              <w:rPr>
                <w:rFonts w:ascii="Open Sans" w:hAnsi="Open Sans" w:cs="Open Sans"/>
                <w:i/>
                <w:iCs/>
                <w:sz w:val="20"/>
                <w:szCs w:val="20"/>
                <w:lang w:val="en-US"/>
              </w:rPr>
            </w:pPr>
            <w:r w:rsidRPr="00CC250B">
              <w:rPr>
                <w:rFonts w:ascii="Open Sans" w:hAnsi="Open Sans" w:cs="Open Sans"/>
                <w:i/>
                <w:iCs/>
                <w:sz w:val="20"/>
                <w:szCs w:val="20"/>
                <w:lang w:val="en-US"/>
              </w:rPr>
              <w:t>Customary practice</w:t>
            </w:r>
          </w:p>
          <w:p w14:paraId="2099A365" w14:textId="738DD5B7" w:rsidR="00C76DB8" w:rsidRDefault="00C76DB8" w:rsidP="00C76DB8">
            <w:pPr>
              <w:rPr>
                <w:rFonts w:ascii="Open Sans" w:hAnsi="Open Sans" w:cs="Open Sans"/>
                <w:sz w:val="20"/>
                <w:szCs w:val="20"/>
                <w:lang w:val="en-US"/>
              </w:rPr>
            </w:pPr>
            <w:r>
              <w:rPr>
                <w:rFonts w:ascii="Open Sans" w:hAnsi="Open Sans" w:cs="Open Sans"/>
                <w:sz w:val="20"/>
                <w:szCs w:val="20"/>
                <w:lang w:val="en-US"/>
              </w:rPr>
              <w:t>The guidance (paragraphs AG23.20 – AG23.21) on enforceability and customary practice was confusing. In particular, the situation of “if you do not fulfil this agreement, you will not get any future money”. This included enforceability needing the ability to enforce (paragraph AG 23.17), but for this situation you also needed a past history.</w:t>
            </w:r>
          </w:p>
          <w:p w14:paraId="1501A078" w14:textId="60FD9BB1" w:rsidR="00C76DB8" w:rsidRPr="001453AF" w:rsidRDefault="00C76DB8" w:rsidP="00FE20EA">
            <w:pPr>
              <w:rPr>
                <w:rFonts w:ascii="Open Sans" w:hAnsi="Open Sans" w:cs="Open Sans"/>
                <w:sz w:val="20"/>
                <w:szCs w:val="20"/>
                <w:lang w:val="en-US"/>
              </w:rPr>
            </w:pP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37686052" w:rsidR="0054631C" w:rsidRPr="001453AF" w:rsidRDefault="001453AF" w:rsidP="00FE20EA">
            <w:pPr>
              <w:rPr>
                <w:rFonts w:ascii="Open Sans" w:hAnsi="Open Sans" w:cs="Open Sans"/>
                <w:sz w:val="20"/>
                <w:szCs w:val="20"/>
                <w:lang w:val="en-US"/>
              </w:rPr>
            </w:pPr>
            <w:r w:rsidRPr="001453AF">
              <w:rPr>
                <w:rFonts w:ascii="Open Sans" w:hAnsi="Open Sans" w:cs="Open Sans"/>
                <w:sz w:val="20"/>
                <w:szCs w:val="20"/>
                <w:lang w:val="en-US"/>
              </w:rPr>
              <w:t>I 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 xml:space="preserve">If not, in what other </w:t>
            </w:r>
            <w:r w:rsidRPr="00455BD0">
              <w:rPr>
                <w:rFonts w:ascii="Open Sans" w:hAnsi="Open Sans" w:cs="Open Sans"/>
                <w:sz w:val="20"/>
                <w:szCs w:val="20"/>
              </w:rPr>
              <w:lastRenderedPageBreak/>
              <w:t>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282" w:type="dxa"/>
          </w:tcPr>
          <w:p w14:paraId="2DD1BE5A" w14:textId="53317AD8" w:rsidR="00FE20EA" w:rsidRPr="001453AF" w:rsidRDefault="001453AF" w:rsidP="00FE20EA">
            <w:pPr>
              <w:rPr>
                <w:rFonts w:ascii="Open Sans" w:hAnsi="Open Sans" w:cs="Open Sans"/>
                <w:sz w:val="20"/>
                <w:szCs w:val="20"/>
                <w:lang w:val="en-US"/>
              </w:rPr>
            </w:pPr>
            <w:r w:rsidRPr="001453AF">
              <w:rPr>
                <w:rFonts w:ascii="Open Sans" w:hAnsi="Open Sans" w:cs="Open Sans"/>
                <w:sz w:val="20"/>
                <w:szCs w:val="20"/>
                <w:lang w:val="en-US"/>
              </w:rPr>
              <w:t>I 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7312EAC1" w14:textId="77777777" w:rsidR="00EF069E" w:rsidRDefault="00746636" w:rsidP="00FE20EA">
            <w:pPr>
              <w:rPr>
                <w:rFonts w:ascii="Open Sans" w:hAnsi="Open Sans" w:cs="Open Sans"/>
                <w:sz w:val="20"/>
                <w:szCs w:val="20"/>
                <w:lang w:val="en-US"/>
              </w:rPr>
            </w:pPr>
            <w:r w:rsidRPr="00746636">
              <w:rPr>
                <w:rFonts w:ascii="Open Sans" w:hAnsi="Open Sans" w:cs="Open Sans"/>
                <w:sz w:val="20"/>
                <w:szCs w:val="20"/>
                <w:lang w:val="en-US"/>
              </w:rPr>
              <w:t>I agree</w:t>
            </w:r>
            <w:r w:rsidR="00B052B1">
              <w:rPr>
                <w:rFonts w:ascii="Open Sans" w:hAnsi="Open Sans" w:cs="Open Sans"/>
                <w:sz w:val="20"/>
                <w:szCs w:val="20"/>
                <w:lang w:val="en-US"/>
              </w:rPr>
              <w:t>, except for capital grants</w:t>
            </w:r>
            <w:r w:rsidRPr="00746636">
              <w:rPr>
                <w:rFonts w:ascii="Open Sans" w:hAnsi="Open Sans" w:cs="Open Sans"/>
                <w:sz w:val="20"/>
                <w:szCs w:val="20"/>
                <w:lang w:val="en-US"/>
              </w:rPr>
              <w:t>. Grants are usually determined based on budgeted costs – unlike for-profit contracts with customers where items are “bundled” and a discount given.</w:t>
            </w:r>
          </w:p>
          <w:p w14:paraId="16E962C4" w14:textId="77777777" w:rsidR="00B052B1" w:rsidRDefault="00B052B1" w:rsidP="00FE20EA">
            <w:pPr>
              <w:rPr>
                <w:rFonts w:ascii="Open Sans" w:hAnsi="Open Sans" w:cs="Open Sans"/>
                <w:sz w:val="20"/>
                <w:szCs w:val="20"/>
                <w:lang w:val="en-US"/>
              </w:rPr>
            </w:pPr>
          </w:p>
          <w:p w14:paraId="25C83EE5" w14:textId="469F1E11" w:rsidR="00B052B1" w:rsidRDefault="00B052B1" w:rsidP="00FE20EA">
            <w:pPr>
              <w:rPr>
                <w:rFonts w:ascii="Open Sans" w:hAnsi="Open Sans" w:cs="Open Sans"/>
                <w:sz w:val="20"/>
                <w:szCs w:val="20"/>
                <w:lang w:val="en-US"/>
              </w:rPr>
            </w:pPr>
            <w:r>
              <w:rPr>
                <w:rFonts w:ascii="Open Sans" w:hAnsi="Open Sans" w:cs="Open Sans"/>
                <w:sz w:val="20"/>
                <w:szCs w:val="20"/>
                <w:lang w:val="en-US"/>
              </w:rPr>
              <w:t>For capital grants, I do not agree. For capital grants, there is often a requirement to construct the asset, and then to use the asset for specified purposes over the useful life of the asset. That is, there are two enforceable grant obligations. First, to turn the cash into a non-cash asset (construct the asset), and secondly to use the constructed asset</w:t>
            </w:r>
            <w:r w:rsidR="00CC250B">
              <w:rPr>
                <w:rFonts w:ascii="Open Sans" w:hAnsi="Open Sans" w:cs="Open Sans"/>
                <w:sz w:val="20"/>
                <w:szCs w:val="20"/>
                <w:lang w:val="en-US"/>
              </w:rPr>
              <w:t xml:space="preserve"> for the specified purposes</w:t>
            </w:r>
            <w:r>
              <w:rPr>
                <w:rFonts w:ascii="Open Sans" w:hAnsi="Open Sans" w:cs="Open Sans"/>
                <w:sz w:val="20"/>
                <w:szCs w:val="20"/>
                <w:lang w:val="en-US"/>
              </w:rPr>
              <w:t>.</w:t>
            </w:r>
            <w:r w:rsidR="00621A31">
              <w:rPr>
                <w:rFonts w:ascii="Open Sans" w:hAnsi="Open Sans" w:cs="Open Sans"/>
                <w:sz w:val="20"/>
                <w:szCs w:val="20"/>
                <w:lang w:val="en-US"/>
              </w:rPr>
              <w:t xml:space="preserve"> I believe that revenue should be recognised for using the asset for the specified purpose(s), similar to revenue being recognised if cash was </w:t>
            </w:r>
            <w:r w:rsidR="00CC250B">
              <w:rPr>
                <w:rFonts w:ascii="Open Sans" w:hAnsi="Open Sans" w:cs="Open Sans"/>
                <w:sz w:val="20"/>
                <w:szCs w:val="20"/>
                <w:lang w:val="en-US"/>
              </w:rPr>
              <w:t xml:space="preserve">granted and </w:t>
            </w:r>
            <w:r w:rsidR="00621A31">
              <w:rPr>
                <w:rFonts w:ascii="Open Sans" w:hAnsi="Open Sans" w:cs="Open Sans"/>
                <w:sz w:val="20"/>
                <w:szCs w:val="20"/>
                <w:lang w:val="en-US"/>
              </w:rPr>
              <w:t>used for the specified purpose(s). Consequently, the conversion of the cash to a non-cash asset would not involve revenue recognition.</w:t>
            </w:r>
          </w:p>
          <w:p w14:paraId="0C700B35" w14:textId="69B4D353" w:rsidR="00D82F2F" w:rsidRPr="00746636" w:rsidRDefault="00D82F2F" w:rsidP="00621A31">
            <w:pPr>
              <w:autoSpaceDE w:val="0"/>
              <w:autoSpaceDN w:val="0"/>
              <w:adjustRightInd w:val="0"/>
              <w:rPr>
                <w:rFonts w:ascii="Open Sans" w:hAnsi="Open Sans" w:cs="Open Sans"/>
                <w:sz w:val="20"/>
                <w:szCs w:val="20"/>
                <w:lang w:val="en-US"/>
              </w:rPr>
            </w:pP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If not, </w:t>
            </w:r>
            <w:r w:rsidRPr="00455BD0">
              <w:rPr>
                <w:rFonts w:ascii="Open Sans" w:hAnsi="Open Sans" w:cs="Open Sans"/>
                <w:sz w:val="20"/>
                <w:szCs w:val="20"/>
              </w:rPr>
              <w:lastRenderedPageBreak/>
              <w:t>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F6EE36F" w14:textId="77777777" w:rsidR="00B62A32" w:rsidRPr="00746636" w:rsidRDefault="00746636" w:rsidP="00B62A32">
            <w:pPr>
              <w:rPr>
                <w:rFonts w:ascii="Open Sans" w:hAnsi="Open Sans" w:cs="Open Sans"/>
                <w:sz w:val="20"/>
                <w:szCs w:val="20"/>
                <w:lang w:val="en-US"/>
              </w:rPr>
            </w:pPr>
            <w:r w:rsidRPr="00746636">
              <w:rPr>
                <w:rFonts w:ascii="Open Sans" w:hAnsi="Open Sans" w:cs="Open Sans"/>
                <w:sz w:val="20"/>
                <w:szCs w:val="20"/>
                <w:lang w:val="en-US"/>
              </w:rPr>
              <w:t>I agree.</w:t>
            </w:r>
          </w:p>
          <w:p w14:paraId="04DE2FDC" w14:textId="77777777" w:rsidR="00746636" w:rsidRDefault="00746636" w:rsidP="00B62A32">
            <w:pPr>
              <w:rPr>
                <w:rFonts w:ascii="Open Sans" w:hAnsi="Open Sans" w:cs="Open Sans"/>
                <w:sz w:val="20"/>
                <w:szCs w:val="20"/>
                <w:lang w:val="en-US"/>
              </w:rPr>
            </w:pPr>
            <w:r w:rsidRPr="00746636">
              <w:rPr>
                <w:rFonts w:ascii="Open Sans" w:hAnsi="Open Sans" w:cs="Open Sans"/>
                <w:sz w:val="20"/>
                <w:szCs w:val="20"/>
                <w:lang w:val="en-US"/>
              </w:rPr>
              <w:t>Similar to my comments on Inventories above, the mandated use of fair value should only be required where cost (or other value) is significantly less than fair value.</w:t>
            </w:r>
          </w:p>
          <w:p w14:paraId="300FABA6" w14:textId="77777777" w:rsidR="00630075" w:rsidRPr="00630075" w:rsidRDefault="00630075" w:rsidP="00B62A32">
            <w:pPr>
              <w:rPr>
                <w:rFonts w:ascii="Open Sans" w:hAnsi="Open Sans" w:cs="Open Sans"/>
                <w:sz w:val="20"/>
                <w:szCs w:val="20"/>
                <w:lang w:val="en-US"/>
              </w:rPr>
            </w:pPr>
          </w:p>
          <w:p w14:paraId="5BC668D7" w14:textId="77CE02DB" w:rsidR="00630075" w:rsidRPr="00EB6705" w:rsidRDefault="00630075" w:rsidP="00B62A32">
            <w:pPr>
              <w:rPr>
                <w:rFonts w:ascii="Open Sans" w:hAnsi="Open Sans" w:cs="Open Sans"/>
                <w:b/>
                <w:bCs/>
                <w:sz w:val="20"/>
                <w:szCs w:val="20"/>
                <w:lang w:val="en-US"/>
              </w:rPr>
            </w:pPr>
            <w:r w:rsidRPr="00630075">
              <w:rPr>
                <w:rFonts w:ascii="Open Sans" w:hAnsi="Open Sans" w:cs="Open Sans"/>
                <w:sz w:val="20"/>
                <w:szCs w:val="20"/>
                <w:lang w:val="en-US"/>
              </w:rPr>
              <w:t>For agreements with a donation component, and an enforceable grant obligation (e.g. a meal and associated donation), I suggest considering the Australian guidance about separating the components.</w:t>
            </w:r>
          </w:p>
        </w:tc>
      </w:tr>
      <w:tr w:rsidR="00B62A32" w:rsidRPr="00EB6705" w14:paraId="479D4BDA" w14:textId="77777777" w:rsidTr="00A276B0">
        <w:tc>
          <w:tcPr>
            <w:tcW w:w="4388" w:type="dxa"/>
          </w:tcPr>
          <w:p w14:paraId="4EDD2270" w14:textId="355075A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se</w:t>
            </w:r>
            <w:r w:rsidR="00630075">
              <w:rPr>
                <w:rFonts w:ascii="Open Sans" w:hAnsi="Open Sans" w:cs="Open Sans"/>
                <w:sz w:val="20"/>
                <w:szCs w:val="20"/>
              </w:rPr>
              <w:t>r</w:t>
            </w:r>
            <w:r w:rsidRPr="00455BD0">
              <w:rPr>
                <w:rFonts w:ascii="Open Sans" w:hAnsi="Open Sans" w:cs="Open Sans"/>
                <w:sz w:val="20"/>
                <w:szCs w:val="20"/>
              </w:rPr>
              <w:t xml:space="preserv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53225F70" w14:textId="77777777" w:rsidR="00B62A32" w:rsidRPr="00746636" w:rsidRDefault="00746636" w:rsidP="00B62A32">
            <w:pPr>
              <w:rPr>
                <w:rFonts w:ascii="Open Sans" w:hAnsi="Open Sans" w:cs="Open Sans"/>
                <w:sz w:val="20"/>
                <w:szCs w:val="20"/>
                <w:lang w:val="en-US"/>
              </w:rPr>
            </w:pPr>
            <w:r w:rsidRPr="00746636">
              <w:rPr>
                <w:rFonts w:ascii="Open Sans" w:hAnsi="Open Sans" w:cs="Open Sans"/>
                <w:sz w:val="20"/>
                <w:szCs w:val="20"/>
                <w:lang w:val="en-US"/>
              </w:rPr>
              <w:t>I do not agree.</w:t>
            </w:r>
          </w:p>
          <w:p w14:paraId="1493E919" w14:textId="77777777" w:rsidR="00746636" w:rsidRPr="00746636" w:rsidRDefault="00746636" w:rsidP="00746636">
            <w:pPr>
              <w:pStyle w:val="Default"/>
              <w:rPr>
                <w:rFonts w:ascii="Open Sans" w:hAnsi="Open Sans" w:cs="Open Sans"/>
                <w:color w:val="auto"/>
                <w:sz w:val="20"/>
                <w:szCs w:val="20"/>
                <w:lang w:val="en-US"/>
              </w:rPr>
            </w:pPr>
            <w:r w:rsidRPr="00746636">
              <w:rPr>
                <w:rFonts w:ascii="Open Sans" w:hAnsi="Open Sans" w:cs="Open Sans"/>
                <w:color w:val="auto"/>
                <w:sz w:val="20"/>
                <w:szCs w:val="20"/>
                <w:lang w:val="en-US"/>
              </w:rPr>
              <w:t>I believe the test “mission critical” should be replaced by the term “if the services would have been purchased if they had not been donated.”. While a similar concept, I believe that it is an easier test to apply, than a new term “mission critical”.</w:t>
            </w:r>
          </w:p>
          <w:p w14:paraId="172DEC95" w14:textId="77777777" w:rsidR="00746636" w:rsidRPr="00746636" w:rsidRDefault="00746636" w:rsidP="00746636">
            <w:pPr>
              <w:pStyle w:val="Default"/>
              <w:rPr>
                <w:rFonts w:ascii="Open Sans" w:hAnsi="Open Sans" w:cs="Open Sans"/>
                <w:color w:val="auto"/>
                <w:sz w:val="20"/>
                <w:szCs w:val="20"/>
                <w:lang w:val="en-US"/>
              </w:rPr>
            </w:pPr>
          </w:p>
          <w:p w14:paraId="2132D602" w14:textId="77777777" w:rsidR="00746636" w:rsidRPr="00746636" w:rsidRDefault="00746636" w:rsidP="00746636">
            <w:pPr>
              <w:pStyle w:val="Default"/>
              <w:rPr>
                <w:rFonts w:ascii="Open Sans" w:hAnsi="Open Sans" w:cs="Open Sans"/>
                <w:color w:val="auto"/>
                <w:sz w:val="20"/>
                <w:szCs w:val="20"/>
                <w:lang w:val="en-US"/>
              </w:rPr>
            </w:pPr>
            <w:r w:rsidRPr="00746636">
              <w:rPr>
                <w:rFonts w:ascii="Open Sans" w:hAnsi="Open Sans" w:cs="Open Sans"/>
                <w:color w:val="auto"/>
                <w:sz w:val="20"/>
                <w:szCs w:val="20"/>
                <w:lang w:val="en-US"/>
              </w:rPr>
              <w:t>There should also be a requirement that the in-kind services can be measured reliably.</w:t>
            </w:r>
          </w:p>
          <w:p w14:paraId="65D8C227" w14:textId="5FAFC6D4" w:rsidR="00746636" w:rsidRPr="00746636" w:rsidRDefault="00746636" w:rsidP="00746636">
            <w:pPr>
              <w:pStyle w:val="Default"/>
              <w:rPr>
                <w:rFonts w:ascii="Open Sans" w:hAnsi="Open Sans" w:cs="Open Sans"/>
                <w:color w:val="auto"/>
                <w:sz w:val="20"/>
                <w:szCs w:val="20"/>
                <w:lang w:val="en-US"/>
              </w:rPr>
            </w:pP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4C2B27C" w14:textId="0CB25C8B" w:rsidR="00746636" w:rsidRPr="00746636" w:rsidRDefault="00746636" w:rsidP="00746636">
            <w:pPr>
              <w:rPr>
                <w:rFonts w:ascii="Open Sans" w:hAnsi="Open Sans" w:cs="Open Sans"/>
                <w:sz w:val="20"/>
                <w:szCs w:val="20"/>
                <w:lang w:val="en-US"/>
              </w:rPr>
            </w:pPr>
            <w:r w:rsidRPr="00746636">
              <w:rPr>
                <w:rFonts w:ascii="Open Sans" w:hAnsi="Open Sans" w:cs="Open Sans"/>
                <w:sz w:val="20"/>
                <w:szCs w:val="20"/>
                <w:lang w:val="en-US"/>
              </w:rPr>
              <w:t xml:space="preserve">I </w:t>
            </w:r>
            <w:r>
              <w:rPr>
                <w:rFonts w:ascii="Open Sans" w:hAnsi="Open Sans" w:cs="Open Sans"/>
                <w:sz w:val="20"/>
                <w:szCs w:val="20"/>
                <w:lang w:val="en-US"/>
              </w:rPr>
              <w:t xml:space="preserve">not </w:t>
            </w:r>
            <w:r w:rsidRPr="00746636">
              <w:rPr>
                <w:rFonts w:ascii="Open Sans" w:hAnsi="Open Sans" w:cs="Open Sans"/>
                <w:sz w:val="20"/>
                <w:szCs w:val="20"/>
                <w:lang w:val="en-US"/>
              </w:rPr>
              <w:t>agree.</w:t>
            </w:r>
          </w:p>
          <w:p w14:paraId="2F03967E" w14:textId="5C45F572" w:rsidR="00B62A32" w:rsidRPr="00EB6705" w:rsidRDefault="00746636" w:rsidP="00746636">
            <w:pPr>
              <w:rPr>
                <w:rFonts w:ascii="Open Sans" w:hAnsi="Open Sans" w:cs="Open Sans"/>
                <w:b/>
                <w:bCs/>
                <w:sz w:val="20"/>
                <w:szCs w:val="20"/>
                <w:lang w:val="en-US"/>
              </w:rPr>
            </w:pPr>
            <w:r w:rsidRPr="00746636">
              <w:rPr>
                <w:rFonts w:ascii="Open Sans" w:hAnsi="Open Sans" w:cs="Open Sans"/>
                <w:sz w:val="20"/>
                <w:szCs w:val="20"/>
                <w:lang w:val="en-US"/>
              </w:rPr>
              <w:t>Similar to my comments on Inventories above, the mandated use of fair value should only be required where cost (or other value) is significantly less than fair value.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56C50888" w:rsidR="00746636" w:rsidRPr="006A024F" w:rsidRDefault="00746636" w:rsidP="00B62A32">
            <w:pPr>
              <w:rPr>
                <w:rFonts w:ascii="Open Sans" w:hAnsi="Open Sans" w:cs="Open Sans"/>
                <w:sz w:val="20"/>
                <w:szCs w:val="20"/>
                <w:lang w:val="en-US"/>
              </w:rPr>
            </w:pPr>
            <w:r w:rsidRPr="006A024F">
              <w:rPr>
                <w:rFonts w:ascii="Open Sans" w:hAnsi="Open Sans" w:cs="Open Sans"/>
                <w:sz w:val="20"/>
                <w:szCs w:val="20"/>
                <w:lang w:val="en-US"/>
              </w:rPr>
              <w:t>I 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 xml:space="preserve">If not, what would you </w:t>
            </w:r>
            <w:r w:rsidRPr="00455BD0">
              <w:rPr>
                <w:rFonts w:ascii="Open Sans" w:hAnsi="Open Sans" w:cs="Open Sans"/>
                <w:sz w:val="20"/>
                <w:szCs w:val="20"/>
              </w:rPr>
              <w:lastRenderedPageBreak/>
              <w:t>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lastRenderedPageBreak/>
              <w:t>G23.61</w:t>
            </w:r>
            <w:r>
              <w:rPr>
                <w:rFonts w:ascii="Open Sans" w:hAnsi="Open Sans" w:cs="Open Sans"/>
                <w:sz w:val="20"/>
                <w:szCs w:val="20"/>
              </w:rPr>
              <w:t>-G23.70</w:t>
            </w:r>
          </w:p>
        </w:tc>
        <w:tc>
          <w:tcPr>
            <w:tcW w:w="8282" w:type="dxa"/>
          </w:tcPr>
          <w:p w14:paraId="174EC5AE" w14:textId="6E1D829D" w:rsidR="00B62A32" w:rsidRPr="00EB6705" w:rsidRDefault="006A024F" w:rsidP="00B62A32">
            <w:pPr>
              <w:rPr>
                <w:rFonts w:ascii="Open Sans" w:hAnsi="Open Sans" w:cs="Open Sans"/>
                <w:b/>
                <w:bCs/>
                <w:sz w:val="20"/>
                <w:szCs w:val="20"/>
                <w:lang w:val="en-US"/>
              </w:rPr>
            </w:pPr>
            <w:r w:rsidRPr="006A024F">
              <w:rPr>
                <w:rFonts w:ascii="Open Sans" w:hAnsi="Open Sans" w:cs="Open Sans"/>
                <w:sz w:val="20"/>
                <w:szCs w:val="20"/>
                <w:lang w:val="en-US"/>
              </w:rPr>
              <w:t>No comment</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623D6F3F" w:rsidR="00B62A32" w:rsidRPr="006A024F" w:rsidRDefault="006A024F" w:rsidP="00B62A32">
            <w:pPr>
              <w:rPr>
                <w:rFonts w:ascii="Open Sans" w:hAnsi="Open Sans" w:cs="Open Sans"/>
                <w:sz w:val="20"/>
                <w:szCs w:val="20"/>
                <w:lang w:val="en-US"/>
              </w:rPr>
            </w:pPr>
            <w:r w:rsidRPr="006A024F">
              <w:rPr>
                <w:rFonts w:ascii="Open Sans" w:hAnsi="Open Sans" w:cs="Open Sans"/>
                <w:sz w:val="20"/>
                <w:szCs w:val="20"/>
                <w:lang w:val="en-US"/>
              </w:rPr>
              <w:t>No comment</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7D28B086" w:rsidR="00B62A32" w:rsidRPr="00EB6705" w:rsidRDefault="006A024F" w:rsidP="00B62A32">
            <w:pPr>
              <w:rPr>
                <w:rFonts w:ascii="Open Sans" w:hAnsi="Open Sans" w:cs="Open Sans"/>
                <w:b/>
                <w:bCs/>
                <w:sz w:val="20"/>
                <w:szCs w:val="20"/>
                <w:lang w:val="en-US"/>
              </w:rPr>
            </w:pPr>
            <w:r w:rsidRPr="006A024F">
              <w:rPr>
                <w:rFonts w:ascii="Open Sans" w:hAnsi="Open Sans" w:cs="Open Sans"/>
                <w:sz w:val="20"/>
                <w:szCs w:val="20"/>
                <w:lang w:val="en-US"/>
              </w:rPr>
              <w:t>No comment</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1073AD59" w14:textId="50491FD3" w:rsidR="00EE70DF" w:rsidRPr="00FC76E0" w:rsidRDefault="00FC76E0" w:rsidP="00FC76E0">
            <w:pPr>
              <w:rPr>
                <w:rFonts w:ascii="Open Sans" w:hAnsi="Open Sans" w:cs="Open Sans"/>
                <w:sz w:val="20"/>
                <w:szCs w:val="20"/>
                <w:lang w:val="en-US"/>
              </w:rPr>
            </w:pPr>
            <w:r w:rsidRPr="00FC76E0">
              <w:rPr>
                <w:rFonts w:ascii="Open Sans" w:hAnsi="Open Sans" w:cs="Open Sans"/>
                <w:sz w:val="20"/>
                <w:szCs w:val="20"/>
                <w:lang w:val="en-US"/>
              </w:rPr>
              <w:t>I agree with the distinction between an NPO’s grant providing activities and those that relate to procurement.</w:t>
            </w:r>
          </w:p>
          <w:p w14:paraId="3A24654B" w14:textId="77777777" w:rsidR="00FC76E0" w:rsidRDefault="00FC76E0" w:rsidP="00FC76E0">
            <w:pPr>
              <w:rPr>
                <w:rFonts w:ascii="Open Sans" w:hAnsi="Open Sans" w:cs="Open Sans"/>
                <w:sz w:val="20"/>
                <w:szCs w:val="20"/>
                <w:lang w:val="en-US"/>
              </w:rPr>
            </w:pPr>
          </w:p>
          <w:p w14:paraId="1D441A10" w14:textId="48D9A486" w:rsidR="00B00F86" w:rsidRPr="00B00F86" w:rsidRDefault="00B00F86" w:rsidP="00FC76E0">
            <w:pPr>
              <w:rPr>
                <w:rFonts w:ascii="Open Sans" w:hAnsi="Open Sans" w:cs="Open Sans"/>
                <w:i/>
                <w:iCs/>
                <w:sz w:val="20"/>
                <w:szCs w:val="20"/>
                <w:lang w:val="en-US"/>
              </w:rPr>
            </w:pPr>
            <w:r w:rsidRPr="00B00F86">
              <w:rPr>
                <w:rFonts w:ascii="Open Sans" w:hAnsi="Open Sans" w:cs="Open Sans"/>
                <w:i/>
                <w:iCs/>
                <w:sz w:val="20"/>
                <w:szCs w:val="20"/>
                <w:lang w:val="en-US"/>
              </w:rPr>
              <w:t>Disagree with grant fulfilment right asset concept</w:t>
            </w:r>
          </w:p>
          <w:p w14:paraId="4A10E357" w14:textId="77777777" w:rsidR="00B00F86" w:rsidRPr="00FC76E0" w:rsidRDefault="00B00F86" w:rsidP="00FC76E0">
            <w:pPr>
              <w:rPr>
                <w:rFonts w:ascii="Open Sans" w:hAnsi="Open Sans" w:cs="Open Sans"/>
                <w:sz w:val="20"/>
                <w:szCs w:val="20"/>
                <w:lang w:val="en-US"/>
              </w:rPr>
            </w:pPr>
          </w:p>
          <w:p w14:paraId="7A952561" w14:textId="0693A0C1" w:rsidR="00FC76E0" w:rsidRPr="00FC76E0" w:rsidRDefault="00FC76E0" w:rsidP="00FC76E0">
            <w:pPr>
              <w:rPr>
                <w:rFonts w:ascii="Open Sans" w:hAnsi="Open Sans" w:cs="Open Sans"/>
                <w:sz w:val="20"/>
                <w:szCs w:val="20"/>
                <w:lang w:val="en-US"/>
              </w:rPr>
            </w:pPr>
            <w:r w:rsidRPr="00FC76E0">
              <w:rPr>
                <w:rFonts w:ascii="Open Sans" w:hAnsi="Open Sans" w:cs="Open Sans"/>
                <w:sz w:val="20"/>
                <w:szCs w:val="20"/>
                <w:lang w:val="en-US"/>
              </w:rPr>
              <w:t xml:space="preserve">I do not agree that the </w:t>
            </w:r>
            <w:r w:rsidRPr="00826634">
              <w:rPr>
                <w:rFonts w:ascii="Open Sans" w:hAnsi="Open Sans" w:cs="Open Sans"/>
                <w:sz w:val="20"/>
                <w:szCs w:val="20"/>
                <w:lang w:val="en-US"/>
              </w:rPr>
              <w:t xml:space="preserve">grant-providing </w:t>
            </w:r>
            <w:r>
              <w:rPr>
                <w:rFonts w:ascii="Open Sans" w:hAnsi="Open Sans" w:cs="Open Sans"/>
                <w:sz w:val="20"/>
                <w:szCs w:val="20"/>
                <w:lang w:val="en-US"/>
              </w:rPr>
              <w:t xml:space="preserve">NPO’s </w:t>
            </w:r>
            <w:r w:rsidR="00826634" w:rsidRPr="00826634">
              <w:rPr>
                <w:rFonts w:ascii="Open Sans" w:hAnsi="Open Sans" w:cs="Open Sans"/>
                <w:sz w:val="20"/>
                <w:szCs w:val="20"/>
                <w:lang w:val="en-US"/>
              </w:rPr>
              <w:t xml:space="preserve">grant fulfilment right </w:t>
            </w:r>
            <w:r w:rsidRPr="00FC76E0">
              <w:rPr>
                <w:rFonts w:ascii="Open Sans" w:hAnsi="Open Sans" w:cs="Open Sans"/>
                <w:sz w:val="20"/>
                <w:szCs w:val="20"/>
                <w:lang w:val="en-US"/>
              </w:rPr>
              <w:t xml:space="preserve">asset representing a prepayment of resources to third-party beneficiaries represents an asset under the conceptual framework.  The resources (usually cash) are no longer under the control of the </w:t>
            </w:r>
            <w:r w:rsidR="00826634" w:rsidRPr="00826634">
              <w:rPr>
                <w:rFonts w:ascii="Open Sans" w:hAnsi="Open Sans" w:cs="Open Sans"/>
                <w:sz w:val="20"/>
                <w:szCs w:val="20"/>
                <w:lang w:val="en-US"/>
              </w:rPr>
              <w:t xml:space="preserve">grant-providing </w:t>
            </w:r>
            <w:r w:rsidR="00826634">
              <w:rPr>
                <w:rFonts w:ascii="Open Sans" w:hAnsi="Open Sans" w:cs="Open Sans"/>
                <w:sz w:val="20"/>
                <w:szCs w:val="20"/>
                <w:lang w:val="en-US"/>
              </w:rPr>
              <w:t>NPO</w:t>
            </w:r>
            <w:r w:rsidRPr="00FC76E0">
              <w:rPr>
                <w:rFonts w:ascii="Open Sans" w:hAnsi="Open Sans" w:cs="Open Sans"/>
                <w:sz w:val="20"/>
                <w:szCs w:val="20"/>
                <w:lang w:val="en-US"/>
              </w:rPr>
              <w:t xml:space="preserve">.  </w:t>
            </w:r>
          </w:p>
          <w:p w14:paraId="46C7E995" w14:textId="77777777" w:rsidR="00FC76E0" w:rsidRPr="00FC76E0" w:rsidRDefault="00FC76E0" w:rsidP="00FC76E0">
            <w:pPr>
              <w:rPr>
                <w:rFonts w:ascii="Open Sans" w:hAnsi="Open Sans" w:cs="Open Sans"/>
                <w:sz w:val="20"/>
                <w:szCs w:val="20"/>
                <w:lang w:val="en-US"/>
              </w:rPr>
            </w:pPr>
          </w:p>
          <w:p w14:paraId="7E58CFF8" w14:textId="76DFADA6" w:rsidR="00FC76E0" w:rsidRPr="00FC76E0" w:rsidRDefault="00FC76E0" w:rsidP="00FC76E0">
            <w:pPr>
              <w:rPr>
                <w:rFonts w:ascii="Open Sans" w:hAnsi="Open Sans" w:cs="Open Sans"/>
                <w:sz w:val="20"/>
                <w:szCs w:val="20"/>
                <w:lang w:val="en-US"/>
              </w:rPr>
            </w:pPr>
            <w:r w:rsidRPr="00FC76E0">
              <w:rPr>
                <w:rFonts w:ascii="Open Sans" w:hAnsi="Open Sans" w:cs="Open Sans"/>
                <w:sz w:val="20"/>
                <w:szCs w:val="20"/>
                <w:lang w:val="en-US"/>
              </w:rPr>
              <w:t>As I noted above</w:t>
            </w:r>
            <w:r w:rsidR="00826634">
              <w:rPr>
                <w:rFonts w:ascii="Open Sans" w:hAnsi="Open Sans" w:cs="Open Sans"/>
                <w:sz w:val="20"/>
                <w:szCs w:val="20"/>
                <w:lang w:val="en-US"/>
              </w:rPr>
              <w:t xml:space="preserve">, I agree with the distinction </w:t>
            </w:r>
            <w:r w:rsidRPr="00FC76E0">
              <w:rPr>
                <w:rFonts w:ascii="Open Sans" w:hAnsi="Open Sans" w:cs="Open Sans"/>
                <w:sz w:val="20"/>
                <w:szCs w:val="20"/>
                <w:lang w:val="en-US"/>
              </w:rPr>
              <w:t>between procurement transactions (exchange transactions and benefits back to funding provider) from grants / transfers.  I think this distinction is important</w:t>
            </w:r>
            <w:r w:rsidR="00826634">
              <w:rPr>
                <w:rFonts w:ascii="Open Sans" w:hAnsi="Open Sans" w:cs="Open Sans"/>
                <w:sz w:val="20"/>
                <w:szCs w:val="20"/>
                <w:lang w:val="en-US"/>
              </w:rPr>
              <w:t xml:space="preserve">, as under Section 24 </w:t>
            </w:r>
            <w:r w:rsidRPr="00FC76E0">
              <w:rPr>
                <w:rFonts w:ascii="Open Sans" w:hAnsi="Open Sans" w:cs="Open Sans"/>
                <w:sz w:val="20"/>
                <w:szCs w:val="20"/>
                <w:lang w:val="en-US"/>
              </w:rPr>
              <w:t xml:space="preserve">the </w:t>
            </w:r>
            <w:r w:rsidR="00826634" w:rsidRPr="00826634">
              <w:rPr>
                <w:rFonts w:ascii="Open Sans" w:hAnsi="Open Sans" w:cs="Open Sans"/>
                <w:sz w:val="20"/>
                <w:szCs w:val="20"/>
                <w:lang w:val="en-US"/>
              </w:rPr>
              <w:t xml:space="preserve">grant-providing </w:t>
            </w:r>
            <w:r w:rsidR="00826634">
              <w:rPr>
                <w:rFonts w:ascii="Open Sans" w:hAnsi="Open Sans" w:cs="Open Sans"/>
                <w:sz w:val="20"/>
                <w:szCs w:val="20"/>
                <w:lang w:val="en-US"/>
              </w:rPr>
              <w:t>NPO</w:t>
            </w:r>
            <w:r w:rsidR="00826634" w:rsidRPr="00FC76E0">
              <w:rPr>
                <w:rFonts w:ascii="Open Sans" w:hAnsi="Open Sans" w:cs="Open Sans"/>
                <w:sz w:val="20"/>
                <w:szCs w:val="20"/>
                <w:lang w:val="en-US"/>
              </w:rPr>
              <w:t xml:space="preserve"> </w:t>
            </w:r>
            <w:r w:rsidRPr="00FC76E0">
              <w:rPr>
                <w:rFonts w:ascii="Open Sans" w:hAnsi="Open Sans" w:cs="Open Sans"/>
                <w:sz w:val="20"/>
                <w:szCs w:val="20"/>
                <w:lang w:val="en-US"/>
              </w:rPr>
              <w:t xml:space="preserve">is not getting any direct benefits.  I do not think that having already transferred the resources to the </w:t>
            </w:r>
            <w:r w:rsidR="00826634">
              <w:rPr>
                <w:rFonts w:ascii="Open Sans" w:hAnsi="Open Sans" w:cs="Open Sans"/>
                <w:sz w:val="20"/>
                <w:szCs w:val="20"/>
                <w:lang w:val="en-US"/>
              </w:rPr>
              <w:t xml:space="preserve">grant </w:t>
            </w:r>
            <w:r w:rsidRPr="00FC76E0">
              <w:rPr>
                <w:rFonts w:ascii="Open Sans" w:hAnsi="Open Sans" w:cs="Open Sans"/>
                <w:sz w:val="20"/>
                <w:szCs w:val="20"/>
                <w:lang w:val="en-US"/>
              </w:rPr>
              <w:t xml:space="preserve">recipient to transfer to third parties represents an asset to the </w:t>
            </w:r>
            <w:r w:rsidR="00826634" w:rsidRPr="00826634">
              <w:rPr>
                <w:rFonts w:ascii="Open Sans" w:hAnsi="Open Sans" w:cs="Open Sans"/>
                <w:sz w:val="20"/>
                <w:szCs w:val="20"/>
                <w:lang w:val="en-US"/>
              </w:rPr>
              <w:t xml:space="preserve">grant-providing </w:t>
            </w:r>
            <w:r w:rsidR="00826634">
              <w:rPr>
                <w:rFonts w:ascii="Open Sans" w:hAnsi="Open Sans" w:cs="Open Sans"/>
                <w:sz w:val="20"/>
                <w:szCs w:val="20"/>
                <w:lang w:val="en-US"/>
              </w:rPr>
              <w:t>NPO</w:t>
            </w:r>
            <w:r w:rsidRPr="00FC76E0">
              <w:rPr>
                <w:rFonts w:ascii="Open Sans" w:hAnsi="Open Sans" w:cs="Open Sans"/>
                <w:sz w:val="20"/>
                <w:szCs w:val="20"/>
                <w:lang w:val="en-US"/>
              </w:rPr>
              <w:t>.  The money (resources) has gone.</w:t>
            </w:r>
          </w:p>
          <w:p w14:paraId="302F4AF1" w14:textId="77777777" w:rsidR="00FC76E0" w:rsidRPr="00FC76E0" w:rsidRDefault="00FC76E0" w:rsidP="00FC76E0">
            <w:pPr>
              <w:rPr>
                <w:rFonts w:ascii="Open Sans" w:hAnsi="Open Sans" w:cs="Open Sans"/>
                <w:sz w:val="20"/>
                <w:szCs w:val="20"/>
                <w:lang w:val="en-US"/>
              </w:rPr>
            </w:pPr>
          </w:p>
          <w:p w14:paraId="215ABE1E" w14:textId="567F776F" w:rsidR="00FC76E0" w:rsidRPr="00FC76E0" w:rsidRDefault="00FC76E0" w:rsidP="00FC76E0">
            <w:pPr>
              <w:rPr>
                <w:rFonts w:ascii="Open Sans" w:hAnsi="Open Sans" w:cs="Open Sans"/>
                <w:sz w:val="20"/>
                <w:szCs w:val="20"/>
                <w:lang w:val="en-US"/>
              </w:rPr>
            </w:pPr>
            <w:r w:rsidRPr="00FC76E0">
              <w:rPr>
                <w:rFonts w:ascii="Open Sans" w:hAnsi="Open Sans" w:cs="Open Sans"/>
                <w:sz w:val="20"/>
                <w:szCs w:val="20"/>
                <w:lang w:val="en-US"/>
              </w:rPr>
              <w:lastRenderedPageBreak/>
              <w:t xml:space="preserve">Given the distinction, it appears that procurement transactions do not have the complexity of </w:t>
            </w:r>
            <w:r w:rsidR="00826634">
              <w:rPr>
                <w:rFonts w:ascii="Open Sans" w:hAnsi="Open Sans" w:cs="Open Sans"/>
                <w:sz w:val="20"/>
                <w:szCs w:val="20"/>
                <w:lang w:val="en-US"/>
              </w:rPr>
              <w:t xml:space="preserve">Section 24 </w:t>
            </w:r>
            <w:r w:rsidR="00CC250B">
              <w:rPr>
                <w:rFonts w:ascii="Open Sans" w:hAnsi="Open Sans" w:cs="Open Sans"/>
                <w:sz w:val="20"/>
                <w:szCs w:val="20"/>
                <w:lang w:val="en-US"/>
              </w:rPr>
              <w:t xml:space="preserve">(mirroring Section 23) </w:t>
            </w:r>
            <w:r w:rsidRPr="00FC76E0">
              <w:rPr>
                <w:rFonts w:ascii="Open Sans" w:hAnsi="Open Sans" w:cs="Open Sans"/>
                <w:sz w:val="20"/>
                <w:szCs w:val="20"/>
                <w:lang w:val="en-US"/>
              </w:rPr>
              <w:t xml:space="preserve">– something that I think is a good thing, and worth raising as an issue as to whether we need the complexity for </w:t>
            </w:r>
            <w:r w:rsidR="00826634">
              <w:rPr>
                <w:rFonts w:ascii="Open Sans" w:hAnsi="Open Sans" w:cs="Open Sans"/>
                <w:sz w:val="20"/>
                <w:szCs w:val="20"/>
                <w:lang w:val="en-US"/>
              </w:rPr>
              <w:t xml:space="preserve">grant </w:t>
            </w:r>
            <w:r w:rsidRPr="00FC76E0">
              <w:rPr>
                <w:rFonts w:ascii="Open Sans" w:hAnsi="Open Sans" w:cs="Open Sans"/>
                <w:sz w:val="20"/>
                <w:szCs w:val="20"/>
                <w:lang w:val="en-US"/>
              </w:rPr>
              <w:t>expenses.</w:t>
            </w:r>
          </w:p>
          <w:p w14:paraId="62A47099" w14:textId="77777777" w:rsidR="00FC76E0" w:rsidRPr="00FC76E0" w:rsidRDefault="00FC76E0" w:rsidP="00FC76E0">
            <w:pPr>
              <w:rPr>
                <w:rFonts w:ascii="Open Sans" w:hAnsi="Open Sans" w:cs="Open Sans"/>
                <w:sz w:val="20"/>
                <w:szCs w:val="20"/>
                <w:lang w:val="en-US"/>
              </w:rPr>
            </w:pPr>
          </w:p>
          <w:p w14:paraId="6275C770" w14:textId="1D5CCE3B" w:rsidR="00B00F86" w:rsidRPr="00B00F86" w:rsidRDefault="00B00F86" w:rsidP="00B00F86">
            <w:pPr>
              <w:rPr>
                <w:rFonts w:ascii="Open Sans" w:hAnsi="Open Sans" w:cs="Open Sans"/>
                <w:i/>
                <w:iCs/>
                <w:sz w:val="20"/>
                <w:szCs w:val="20"/>
                <w:lang w:val="en-US"/>
              </w:rPr>
            </w:pPr>
            <w:r w:rsidRPr="00B00F86">
              <w:rPr>
                <w:rFonts w:ascii="Open Sans" w:hAnsi="Open Sans" w:cs="Open Sans"/>
                <w:i/>
                <w:iCs/>
                <w:sz w:val="20"/>
                <w:szCs w:val="20"/>
                <w:lang w:val="en-US"/>
              </w:rPr>
              <w:t xml:space="preserve">Disagree with </w:t>
            </w:r>
            <w:r>
              <w:rPr>
                <w:rFonts w:ascii="Open Sans" w:hAnsi="Open Sans" w:cs="Open Sans"/>
                <w:i/>
                <w:iCs/>
                <w:sz w:val="20"/>
                <w:szCs w:val="20"/>
                <w:lang w:val="en-US"/>
              </w:rPr>
              <w:t xml:space="preserve">profit / surplus effect of </w:t>
            </w:r>
            <w:r w:rsidRPr="00B00F86">
              <w:rPr>
                <w:rFonts w:ascii="Open Sans" w:hAnsi="Open Sans" w:cs="Open Sans"/>
                <w:i/>
                <w:iCs/>
                <w:sz w:val="20"/>
                <w:szCs w:val="20"/>
                <w:lang w:val="en-US"/>
              </w:rPr>
              <w:t>grant fulfilment right asset concept</w:t>
            </w:r>
          </w:p>
          <w:p w14:paraId="17B3D5F1" w14:textId="77777777" w:rsidR="00B00F86" w:rsidRDefault="00B00F86" w:rsidP="00FC76E0">
            <w:pPr>
              <w:rPr>
                <w:rFonts w:ascii="Open Sans" w:hAnsi="Open Sans" w:cs="Open Sans"/>
                <w:sz w:val="20"/>
                <w:szCs w:val="20"/>
                <w:lang w:val="en-US"/>
              </w:rPr>
            </w:pPr>
          </w:p>
          <w:p w14:paraId="05E7F0B8" w14:textId="5B70F6AB" w:rsidR="00FC76E0" w:rsidRPr="00217880" w:rsidRDefault="00826634" w:rsidP="00FC76E0">
            <w:pPr>
              <w:rPr>
                <w:rFonts w:ascii="Open Sans" w:hAnsi="Open Sans" w:cs="Open Sans"/>
                <w:sz w:val="20"/>
                <w:szCs w:val="20"/>
                <w:lang w:val="en-US"/>
              </w:rPr>
            </w:pPr>
            <w:r>
              <w:rPr>
                <w:rFonts w:ascii="Open Sans" w:hAnsi="Open Sans" w:cs="Open Sans"/>
                <w:sz w:val="20"/>
                <w:szCs w:val="20"/>
                <w:lang w:val="en-US"/>
              </w:rPr>
              <w:t xml:space="preserve">In addition to disagreeing with the balance sheet consequences of the Section 24 proposals, I disagree with the </w:t>
            </w:r>
            <w:r w:rsidRPr="00217880">
              <w:rPr>
                <w:rFonts w:ascii="Open Sans" w:hAnsi="Open Sans" w:cs="Open Sans"/>
                <w:sz w:val="20"/>
                <w:szCs w:val="20"/>
                <w:lang w:val="en-US"/>
              </w:rPr>
              <w:t>Statement of Income and Expenses consequences of the proposals.</w:t>
            </w:r>
          </w:p>
          <w:p w14:paraId="2B794463" w14:textId="77777777" w:rsidR="00826634" w:rsidRDefault="00826634" w:rsidP="00FC76E0">
            <w:pPr>
              <w:rPr>
                <w:rFonts w:ascii="Open Sans" w:hAnsi="Open Sans" w:cs="Open Sans"/>
                <w:sz w:val="20"/>
                <w:szCs w:val="20"/>
                <w:lang w:val="en-US"/>
              </w:rPr>
            </w:pPr>
          </w:p>
          <w:p w14:paraId="1559A2E1" w14:textId="68C9A77E" w:rsidR="00217880" w:rsidRDefault="00217880" w:rsidP="00FC76E0">
            <w:pPr>
              <w:rPr>
                <w:rFonts w:ascii="Open Sans" w:hAnsi="Open Sans" w:cs="Open Sans"/>
                <w:sz w:val="20"/>
                <w:szCs w:val="20"/>
                <w:lang w:val="en-US"/>
              </w:rPr>
            </w:pPr>
            <w:r>
              <w:rPr>
                <w:rFonts w:ascii="Open Sans" w:hAnsi="Open Sans" w:cs="Open Sans"/>
                <w:sz w:val="20"/>
                <w:szCs w:val="20"/>
                <w:lang w:val="en-US"/>
              </w:rPr>
              <w:t xml:space="preserve">For example, an enforceable grant arrangement </w:t>
            </w:r>
            <w:r w:rsidR="00CC250B">
              <w:rPr>
                <w:rFonts w:ascii="Open Sans" w:hAnsi="Open Sans" w:cs="Open Sans"/>
                <w:sz w:val="20"/>
                <w:szCs w:val="20"/>
                <w:lang w:val="en-US"/>
              </w:rPr>
              <w:t xml:space="preserve">(with each of 2 grant recipients) </w:t>
            </w:r>
            <w:r>
              <w:rPr>
                <w:rFonts w:ascii="Open Sans" w:hAnsi="Open Sans" w:cs="Open Sans"/>
                <w:sz w:val="20"/>
                <w:szCs w:val="20"/>
                <w:lang w:val="en-US"/>
              </w:rPr>
              <w:t xml:space="preserve">with a </w:t>
            </w:r>
            <w:r w:rsidRPr="00826634">
              <w:rPr>
                <w:rFonts w:ascii="Open Sans" w:hAnsi="Open Sans" w:cs="Open Sans"/>
                <w:sz w:val="20"/>
                <w:szCs w:val="20"/>
                <w:lang w:val="en-US"/>
              </w:rPr>
              <w:t>grant fulfilment right</w:t>
            </w:r>
            <w:r>
              <w:rPr>
                <w:rFonts w:ascii="Open Sans" w:hAnsi="Open Sans" w:cs="Open Sans"/>
                <w:sz w:val="20"/>
                <w:szCs w:val="20"/>
                <w:lang w:val="en-US"/>
              </w:rPr>
              <w:t xml:space="preserve"> for the </w:t>
            </w:r>
            <w:r w:rsidR="00CC250B">
              <w:rPr>
                <w:rFonts w:ascii="Open Sans" w:hAnsi="Open Sans" w:cs="Open Sans"/>
                <w:sz w:val="20"/>
                <w:szCs w:val="20"/>
                <w:lang w:val="en-US"/>
              </w:rPr>
              <w:t xml:space="preserve">recipient </w:t>
            </w:r>
            <w:r>
              <w:rPr>
                <w:rFonts w:ascii="Open Sans" w:hAnsi="Open Sans" w:cs="Open Sans"/>
                <w:sz w:val="20"/>
                <w:szCs w:val="20"/>
                <w:lang w:val="en-US"/>
              </w:rPr>
              <w:t xml:space="preserve">to spend the funding on the same defined activities over the next 12 months. Under the Section 24 proposals, the unspent monies will represent a </w:t>
            </w:r>
            <w:r w:rsidRPr="00826634">
              <w:rPr>
                <w:rFonts w:ascii="Open Sans" w:hAnsi="Open Sans" w:cs="Open Sans"/>
                <w:sz w:val="20"/>
                <w:szCs w:val="20"/>
                <w:lang w:val="en-US"/>
              </w:rPr>
              <w:t xml:space="preserve">grant fulfilment right </w:t>
            </w:r>
            <w:r w:rsidRPr="00FC76E0">
              <w:rPr>
                <w:rFonts w:ascii="Open Sans" w:hAnsi="Open Sans" w:cs="Open Sans"/>
                <w:sz w:val="20"/>
                <w:szCs w:val="20"/>
                <w:lang w:val="en-US"/>
              </w:rPr>
              <w:t>asset</w:t>
            </w:r>
            <w:r>
              <w:rPr>
                <w:rFonts w:ascii="Open Sans" w:hAnsi="Open Sans" w:cs="Open Sans"/>
                <w:sz w:val="20"/>
                <w:szCs w:val="20"/>
                <w:lang w:val="en-US"/>
              </w:rPr>
              <w:t xml:space="preserve">. For the monies spent by the grant recipient, the </w:t>
            </w:r>
            <w:r w:rsidRPr="00826634">
              <w:rPr>
                <w:rFonts w:ascii="Open Sans" w:hAnsi="Open Sans" w:cs="Open Sans"/>
                <w:sz w:val="20"/>
                <w:szCs w:val="20"/>
                <w:lang w:val="en-US"/>
              </w:rPr>
              <w:t xml:space="preserve">grant-providing </w:t>
            </w:r>
            <w:r>
              <w:rPr>
                <w:rFonts w:ascii="Open Sans" w:hAnsi="Open Sans" w:cs="Open Sans"/>
                <w:sz w:val="20"/>
                <w:szCs w:val="20"/>
                <w:lang w:val="en-US"/>
              </w:rPr>
              <w:t xml:space="preserve">NPO will recongise a grant expense. Consequently, the results / surplus (revenue less expenses) of the </w:t>
            </w:r>
            <w:r w:rsidRPr="00826634">
              <w:rPr>
                <w:rFonts w:ascii="Open Sans" w:hAnsi="Open Sans" w:cs="Open Sans"/>
                <w:sz w:val="20"/>
                <w:szCs w:val="20"/>
                <w:lang w:val="en-US"/>
              </w:rPr>
              <w:t xml:space="preserve">grant-providing </w:t>
            </w:r>
            <w:r>
              <w:rPr>
                <w:rFonts w:ascii="Open Sans" w:hAnsi="Open Sans" w:cs="Open Sans"/>
                <w:sz w:val="20"/>
                <w:szCs w:val="20"/>
                <w:lang w:val="en-US"/>
              </w:rPr>
              <w:t>NPO will be affected by how quickly (or slowly) the grant recipient performs its obligation. Yet, the grant recipient is not part of the NPO group – yet affects the NPO group’s results</w:t>
            </w:r>
            <w:r w:rsidR="00B00F86">
              <w:rPr>
                <w:rFonts w:ascii="Open Sans" w:hAnsi="Open Sans" w:cs="Open Sans"/>
                <w:sz w:val="20"/>
                <w:szCs w:val="20"/>
                <w:lang w:val="en-US"/>
              </w:rPr>
              <w:t xml:space="preserve"> – by activities </w:t>
            </w:r>
            <w:r w:rsidR="00CC250B">
              <w:rPr>
                <w:rFonts w:ascii="Open Sans" w:hAnsi="Open Sans" w:cs="Open Sans"/>
                <w:sz w:val="20"/>
                <w:szCs w:val="20"/>
                <w:lang w:val="en-US"/>
              </w:rPr>
              <w:t xml:space="preserve">not </w:t>
            </w:r>
            <w:r w:rsidR="00B00F86">
              <w:rPr>
                <w:rFonts w:ascii="Open Sans" w:hAnsi="Open Sans" w:cs="Open Sans"/>
                <w:sz w:val="20"/>
                <w:szCs w:val="20"/>
                <w:lang w:val="en-US"/>
              </w:rPr>
              <w:t xml:space="preserve">within </w:t>
            </w:r>
            <w:r w:rsidR="00CC250B">
              <w:rPr>
                <w:rFonts w:ascii="Open Sans" w:hAnsi="Open Sans" w:cs="Open Sans"/>
                <w:sz w:val="20"/>
                <w:szCs w:val="20"/>
                <w:lang w:val="en-US"/>
              </w:rPr>
              <w:t xml:space="preserve">the NPO’s </w:t>
            </w:r>
            <w:r w:rsidR="00B00F86">
              <w:rPr>
                <w:rFonts w:ascii="Open Sans" w:hAnsi="Open Sans" w:cs="Open Sans"/>
                <w:sz w:val="20"/>
                <w:szCs w:val="20"/>
                <w:lang w:val="en-US"/>
              </w:rPr>
              <w:t>control (the spending o</w:t>
            </w:r>
            <w:r w:rsidR="00CC250B">
              <w:rPr>
                <w:rFonts w:ascii="Open Sans" w:hAnsi="Open Sans" w:cs="Open Sans"/>
                <w:sz w:val="20"/>
                <w:szCs w:val="20"/>
                <w:lang w:val="en-US"/>
              </w:rPr>
              <w:t>f</w:t>
            </w:r>
            <w:r w:rsidR="00B00F86">
              <w:rPr>
                <w:rFonts w:ascii="Open Sans" w:hAnsi="Open Sans" w:cs="Open Sans"/>
                <w:sz w:val="20"/>
                <w:szCs w:val="20"/>
                <w:lang w:val="en-US"/>
              </w:rPr>
              <w:t xml:space="preserve"> the funding in accordance with the grant agreement).</w:t>
            </w:r>
          </w:p>
          <w:p w14:paraId="1B287FEE" w14:textId="77777777" w:rsidR="00217880" w:rsidRDefault="00217880" w:rsidP="00FC76E0">
            <w:pPr>
              <w:rPr>
                <w:rFonts w:ascii="Open Sans" w:hAnsi="Open Sans" w:cs="Open Sans"/>
                <w:sz w:val="20"/>
                <w:szCs w:val="20"/>
                <w:lang w:val="en-US"/>
              </w:rPr>
            </w:pPr>
          </w:p>
          <w:p w14:paraId="0B3C14F1" w14:textId="4F9ABD39" w:rsidR="00B00F86" w:rsidRPr="00B00F86" w:rsidRDefault="00B00F86" w:rsidP="00B00F86">
            <w:pPr>
              <w:rPr>
                <w:rFonts w:ascii="Open Sans" w:hAnsi="Open Sans" w:cs="Open Sans"/>
                <w:i/>
                <w:iCs/>
                <w:sz w:val="20"/>
                <w:szCs w:val="20"/>
                <w:lang w:val="en-US"/>
              </w:rPr>
            </w:pPr>
            <w:r w:rsidRPr="00B00F86">
              <w:rPr>
                <w:rFonts w:ascii="Open Sans" w:hAnsi="Open Sans" w:cs="Open Sans"/>
                <w:i/>
                <w:iCs/>
                <w:sz w:val="20"/>
                <w:szCs w:val="20"/>
                <w:lang w:val="en-US"/>
              </w:rPr>
              <w:t xml:space="preserve">Disagree with </w:t>
            </w:r>
            <w:r>
              <w:rPr>
                <w:rFonts w:ascii="Open Sans" w:hAnsi="Open Sans" w:cs="Open Sans"/>
                <w:i/>
                <w:iCs/>
                <w:sz w:val="20"/>
                <w:szCs w:val="20"/>
                <w:lang w:val="en-US"/>
              </w:rPr>
              <w:t xml:space="preserve">complexity of </w:t>
            </w:r>
            <w:r w:rsidRPr="00B00F86">
              <w:rPr>
                <w:rFonts w:ascii="Open Sans" w:hAnsi="Open Sans" w:cs="Open Sans"/>
                <w:i/>
                <w:iCs/>
                <w:sz w:val="20"/>
                <w:szCs w:val="20"/>
                <w:lang w:val="en-US"/>
              </w:rPr>
              <w:t>grant fulfilment right asset concept</w:t>
            </w:r>
          </w:p>
          <w:p w14:paraId="1AFC25D0" w14:textId="77777777" w:rsidR="00B00F86" w:rsidRDefault="00B00F86" w:rsidP="00B00F86">
            <w:pPr>
              <w:rPr>
                <w:rFonts w:ascii="Open Sans" w:hAnsi="Open Sans" w:cs="Open Sans"/>
                <w:sz w:val="20"/>
                <w:szCs w:val="20"/>
                <w:lang w:val="en-US"/>
              </w:rPr>
            </w:pPr>
          </w:p>
          <w:p w14:paraId="07982E4A" w14:textId="0B8A6C7C" w:rsidR="00B00F86" w:rsidRDefault="00F9702B" w:rsidP="00FC76E0">
            <w:pPr>
              <w:rPr>
                <w:rFonts w:ascii="Open Sans" w:hAnsi="Open Sans" w:cs="Open Sans"/>
                <w:sz w:val="20"/>
                <w:szCs w:val="20"/>
                <w:lang w:val="en-US"/>
              </w:rPr>
            </w:pPr>
            <w:r>
              <w:rPr>
                <w:rFonts w:ascii="Open Sans" w:hAnsi="Open Sans" w:cs="Open Sans"/>
                <w:sz w:val="20"/>
                <w:szCs w:val="20"/>
                <w:lang w:val="en-US"/>
              </w:rPr>
              <w:lastRenderedPageBreak/>
              <w:t>In practice, I expect the implementation of trying to track performance by grant recipients to be costly and complex. While acquittals for grants often take place, these are not undertaken all at year end, or uniformly throughout the financial year. This may lead to significant differences between “management accounts” (based on business as usual acquittals) and “statutory accounts” (based on year end estimates</w:t>
            </w:r>
            <w:r w:rsidR="00CC250B">
              <w:rPr>
                <w:rFonts w:ascii="Open Sans" w:hAnsi="Open Sans" w:cs="Open Sans"/>
                <w:sz w:val="20"/>
                <w:szCs w:val="20"/>
                <w:lang w:val="en-US"/>
              </w:rPr>
              <w:t xml:space="preserve"> and adjustments</w:t>
            </w:r>
            <w:r>
              <w:rPr>
                <w:rFonts w:ascii="Open Sans" w:hAnsi="Open Sans" w:cs="Open Sans"/>
                <w:sz w:val="20"/>
                <w:szCs w:val="20"/>
                <w:lang w:val="en-US"/>
              </w:rPr>
              <w:t>).</w:t>
            </w:r>
          </w:p>
          <w:p w14:paraId="63F27F09" w14:textId="77777777" w:rsidR="00F9702B" w:rsidRDefault="00F9702B" w:rsidP="00FC76E0">
            <w:pPr>
              <w:rPr>
                <w:rFonts w:ascii="Open Sans" w:hAnsi="Open Sans" w:cs="Open Sans"/>
                <w:sz w:val="20"/>
                <w:szCs w:val="20"/>
                <w:lang w:val="en-US"/>
              </w:rPr>
            </w:pPr>
          </w:p>
          <w:p w14:paraId="01E702E3" w14:textId="05156FB9" w:rsidR="00F9702B" w:rsidRDefault="00F9702B" w:rsidP="00FC76E0">
            <w:pPr>
              <w:rPr>
                <w:rFonts w:ascii="Open Sans" w:hAnsi="Open Sans" w:cs="Open Sans"/>
                <w:sz w:val="20"/>
                <w:szCs w:val="20"/>
                <w:lang w:val="en-US"/>
              </w:rPr>
            </w:pPr>
            <w:r>
              <w:rPr>
                <w:rFonts w:ascii="Open Sans" w:hAnsi="Open Sans" w:cs="Open Sans"/>
                <w:sz w:val="20"/>
                <w:szCs w:val="20"/>
                <w:lang w:val="en-US"/>
              </w:rPr>
              <w:t>As I state above, I do not agree with the proposed accounting, and therefore do not agree with imposing the cost and complexity on NPOs.</w:t>
            </w:r>
          </w:p>
          <w:p w14:paraId="5E269089" w14:textId="77777777" w:rsidR="00F9702B" w:rsidRDefault="00F9702B" w:rsidP="00FC76E0">
            <w:pPr>
              <w:rPr>
                <w:rFonts w:ascii="Open Sans" w:hAnsi="Open Sans" w:cs="Open Sans"/>
                <w:sz w:val="20"/>
                <w:szCs w:val="20"/>
                <w:lang w:val="en-US"/>
              </w:rPr>
            </w:pPr>
          </w:p>
          <w:p w14:paraId="5C16475F" w14:textId="7D9EE678" w:rsidR="00F9702B" w:rsidRPr="00B00F86" w:rsidRDefault="00F9702B" w:rsidP="00F9702B">
            <w:pPr>
              <w:rPr>
                <w:rFonts w:ascii="Open Sans" w:hAnsi="Open Sans" w:cs="Open Sans"/>
                <w:i/>
                <w:iCs/>
                <w:sz w:val="20"/>
                <w:szCs w:val="20"/>
                <w:lang w:val="en-US"/>
              </w:rPr>
            </w:pPr>
            <w:r>
              <w:rPr>
                <w:rFonts w:ascii="Open Sans" w:hAnsi="Open Sans" w:cs="Open Sans"/>
                <w:i/>
                <w:iCs/>
                <w:sz w:val="20"/>
                <w:szCs w:val="20"/>
                <w:lang w:val="en-US"/>
              </w:rPr>
              <w:t>Practical issues</w:t>
            </w:r>
          </w:p>
          <w:p w14:paraId="1B9BEB29" w14:textId="77777777" w:rsidR="00826634" w:rsidRDefault="00826634" w:rsidP="00FC76E0">
            <w:pPr>
              <w:rPr>
                <w:rFonts w:ascii="Open Sans" w:hAnsi="Open Sans" w:cs="Open Sans"/>
                <w:sz w:val="20"/>
                <w:szCs w:val="20"/>
                <w:lang w:val="en-US"/>
              </w:rPr>
            </w:pPr>
          </w:p>
          <w:p w14:paraId="41053879" w14:textId="105F0E9A" w:rsidR="00F9702B" w:rsidRDefault="00F9702B" w:rsidP="00F9702B">
            <w:pPr>
              <w:rPr>
                <w:rFonts w:ascii="Open Sans" w:hAnsi="Open Sans" w:cs="Open Sans"/>
                <w:sz w:val="20"/>
                <w:szCs w:val="20"/>
                <w:lang w:val="en-US"/>
              </w:rPr>
            </w:pPr>
            <w:r w:rsidRPr="003130CF">
              <w:rPr>
                <w:rFonts w:ascii="Open Sans" w:hAnsi="Open Sans" w:cs="Open Sans"/>
                <w:sz w:val="20"/>
                <w:szCs w:val="20"/>
                <w:lang w:val="en-US"/>
              </w:rPr>
              <w:t xml:space="preserve">I also highlight my response on revenue for capital grants </w:t>
            </w:r>
            <w:r>
              <w:rPr>
                <w:rFonts w:ascii="Open Sans" w:hAnsi="Open Sans" w:cs="Open Sans"/>
                <w:sz w:val="20"/>
                <w:szCs w:val="20"/>
                <w:lang w:val="en-US"/>
              </w:rPr>
              <w:t xml:space="preserve">Q4(d) </w:t>
            </w:r>
            <w:r w:rsidRPr="003130CF">
              <w:rPr>
                <w:rFonts w:ascii="Open Sans" w:hAnsi="Open Sans" w:cs="Open Sans"/>
                <w:sz w:val="20"/>
                <w:szCs w:val="20"/>
                <w:lang w:val="en-US"/>
              </w:rPr>
              <w:t>– i.e. grant to construct and use an asset over its useful life</w:t>
            </w:r>
            <w:r>
              <w:rPr>
                <w:rFonts w:ascii="Open Sans" w:hAnsi="Open Sans" w:cs="Open Sans"/>
                <w:sz w:val="20"/>
                <w:szCs w:val="20"/>
                <w:lang w:val="en-US"/>
              </w:rPr>
              <w:t xml:space="preserve"> – where I believe that revenue should be recognized on the use of the non-cash asset over its useful life, as </w:t>
            </w:r>
            <w:r w:rsidR="00A97BEF">
              <w:rPr>
                <w:rFonts w:ascii="Open Sans" w:hAnsi="Open Sans" w:cs="Open Sans"/>
                <w:sz w:val="20"/>
                <w:szCs w:val="20"/>
                <w:lang w:val="en-US"/>
              </w:rPr>
              <w:t xml:space="preserve">how </w:t>
            </w:r>
            <w:r>
              <w:rPr>
                <w:rFonts w:ascii="Open Sans" w:hAnsi="Open Sans" w:cs="Open Sans"/>
                <w:sz w:val="20"/>
                <w:szCs w:val="20"/>
                <w:lang w:val="en-US"/>
              </w:rPr>
              <w:t xml:space="preserve">grant revenue </w:t>
            </w:r>
            <w:r w:rsidR="00A97BEF">
              <w:rPr>
                <w:rFonts w:ascii="Open Sans" w:hAnsi="Open Sans" w:cs="Open Sans"/>
                <w:sz w:val="20"/>
                <w:szCs w:val="20"/>
                <w:lang w:val="en-US"/>
              </w:rPr>
              <w:t xml:space="preserve">would </w:t>
            </w:r>
            <w:r>
              <w:rPr>
                <w:rFonts w:ascii="Open Sans" w:hAnsi="Open Sans" w:cs="Open Sans"/>
                <w:sz w:val="20"/>
                <w:szCs w:val="20"/>
                <w:lang w:val="en-US"/>
              </w:rPr>
              <w:t xml:space="preserve">be recognized </w:t>
            </w:r>
            <w:r w:rsidR="00A97BEF">
              <w:rPr>
                <w:rFonts w:ascii="Open Sans" w:hAnsi="Open Sans" w:cs="Open Sans"/>
                <w:sz w:val="20"/>
                <w:szCs w:val="20"/>
                <w:lang w:val="en-US"/>
              </w:rPr>
              <w:t>if the grant was cash and the cash used for the specified activities</w:t>
            </w:r>
            <w:r>
              <w:rPr>
                <w:rFonts w:ascii="Open Sans" w:hAnsi="Open Sans" w:cs="Open Sans"/>
                <w:sz w:val="20"/>
                <w:szCs w:val="20"/>
                <w:lang w:val="en-US"/>
              </w:rPr>
              <w:t>.</w:t>
            </w:r>
          </w:p>
          <w:p w14:paraId="10C9DB25" w14:textId="77777777" w:rsidR="00F9702B" w:rsidRDefault="00F9702B" w:rsidP="00FC76E0">
            <w:pPr>
              <w:rPr>
                <w:rFonts w:ascii="Open Sans" w:hAnsi="Open Sans" w:cs="Open Sans"/>
                <w:sz w:val="20"/>
                <w:szCs w:val="20"/>
                <w:lang w:val="en-US"/>
              </w:rPr>
            </w:pPr>
          </w:p>
          <w:p w14:paraId="3E590832" w14:textId="1D27DD38" w:rsidR="00F9702B" w:rsidRDefault="00F9702B" w:rsidP="00FC76E0">
            <w:pPr>
              <w:rPr>
                <w:rFonts w:ascii="Open Sans" w:hAnsi="Open Sans" w:cs="Open Sans"/>
                <w:sz w:val="20"/>
                <w:szCs w:val="20"/>
                <w:lang w:val="en-US"/>
              </w:rPr>
            </w:pPr>
            <w:r>
              <w:rPr>
                <w:rFonts w:ascii="Open Sans" w:hAnsi="Open Sans" w:cs="Open Sans"/>
                <w:sz w:val="20"/>
                <w:szCs w:val="20"/>
                <w:lang w:val="en-US"/>
              </w:rPr>
              <w:t>This issue is also applicable for grant expenses.</w:t>
            </w:r>
          </w:p>
          <w:p w14:paraId="5C708D66" w14:textId="4DC5BDE1" w:rsidR="00F9702B" w:rsidRPr="00FC76E0" w:rsidRDefault="00F9702B" w:rsidP="00FC76E0">
            <w:pPr>
              <w:rPr>
                <w:rFonts w:ascii="Open Sans" w:hAnsi="Open Sans" w:cs="Open Sans"/>
                <w:sz w:val="20"/>
                <w:szCs w:val="20"/>
                <w:lang w:val="en-US"/>
              </w:rPr>
            </w:pP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xml:space="preserve">?  If not, </w:t>
            </w:r>
            <w:r w:rsidRPr="00455BD0">
              <w:rPr>
                <w:rFonts w:ascii="Open Sans" w:hAnsi="Open Sans" w:cs="Open Sans"/>
                <w:sz w:val="20"/>
                <w:szCs w:val="20"/>
              </w:rPr>
              <w:lastRenderedPageBreak/>
              <w:t>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lastRenderedPageBreak/>
              <w:t>G24.3-G24.6</w:t>
            </w:r>
          </w:p>
        </w:tc>
        <w:tc>
          <w:tcPr>
            <w:tcW w:w="8282" w:type="dxa"/>
          </w:tcPr>
          <w:p w14:paraId="1D21094D" w14:textId="2F57B3D8" w:rsidR="00EE70DF" w:rsidRPr="003130CF" w:rsidRDefault="003130CF" w:rsidP="00EE70DF">
            <w:pPr>
              <w:rPr>
                <w:rFonts w:ascii="Open Sans" w:hAnsi="Open Sans" w:cs="Open San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261E0ACD" w:rsidR="00EE70DF" w:rsidRPr="00EB6705" w:rsidRDefault="003130CF" w:rsidP="00EE70DF">
            <w:pPr>
              <w:rPr>
                <w:rFonts w:ascii="Open Sans" w:hAnsi="Open Sans" w:cs="Open Sans"/>
                <w:b/>
                <w:bC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D580EDE" w:rsidR="00EE70DF" w:rsidRPr="00EB6705" w:rsidRDefault="003130CF" w:rsidP="00EE70DF">
            <w:pPr>
              <w:rPr>
                <w:rFonts w:ascii="Open Sans" w:hAnsi="Open Sans" w:cs="Open Sans"/>
                <w:b/>
                <w:bC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52611C3C" w14:textId="77777777" w:rsidR="00EE70DF" w:rsidRDefault="003130CF" w:rsidP="00EE70DF">
            <w:pPr>
              <w:rPr>
                <w:rFonts w:ascii="Open Sans" w:hAnsi="Open Sans" w:cs="Open San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p w14:paraId="39089C62" w14:textId="77777777" w:rsidR="00A97BEF" w:rsidRDefault="00A97BEF" w:rsidP="00A97BEF">
            <w:pPr>
              <w:rPr>
                <w:rFonts w:ascii="Open Sans" w:hAnsi="Open Sans" w:cs="Open Sans"/>
                <w:sz w:val="20"/>
                <w:szCs w:val="20"/>
                <w:lang w:val="en-US"/>
              </w:rPr>
            </w:pPr>
            <w:r w:rsidRPr="003130CF">
              <w:rPr>
                <w:rFonts w:ascii="Open Sans" w:hAnsi="Open Sans" w:cs="Open Sans"/>
                <w:sz w:val="20"/>
                <w:szCs w:val="20"/>
                <w:lang w:val="en-US"/>
              </w:rPr>
              <w:t xml:space="preserve">I also highlight my response on revenue for capital grants </w:t>
            </w:r>
            <w:r>
              <w:rPr>
                <w:rFonts w:ascii="Open Sans" w:hAnsi="Open Sans" w:cs="Open Sans"/>
                <w:sz w:val="20"/>
                <w:szCs w:val="20"/>
                <w:lang w:val="en-US"/>
              </w:rPr>
              <w:t xml:space="preserve">Q4(d) </w:t>
            </w:r>
            <w:r w:rsidRPr="003130CF">
              <w:rPr>
                <w:rFonts w:ascii="Open Sans" w:hAnsi="Open Sans" w:cs="Open Sans"/>
                <w:sz w:val="20"/>
                <w:szCs w:val="20"/>
                <w:lang w:val="en-US"/>
              </w:rPr>
              <w:t>– i.e. grant to construct and use an asset over its useful life</w:t>
            </w:r>
            <w:r>
              <w:rPr>
                <w:rFonts w:ascii="Open Sans" w:hAnsi="Open Sans" w:cs="Open Sans"/>
                <w:sz w:val="20"/>
                <w:szCs w:val="20"/>
                <w:lang w:val="en-US"/>
              </w:rPr>
              <w:t xml:space="preserve"> – where I believe that revenue should be recognized on the use of the non-cash asset over its useful life, as how grant revenue </w:t>
            </w:r>
            <w:r>
              <w:rPr>
                <w:rFonts w:ascii="Open Sans" w:hAnsi="Open Sans" w:cs="Open Sans"/>
                <w:sz w:val="20"/>
                <w:szCs w:val="20"/>
                <w:lang w:val="en-US"/>
              </w:rPr>
              <w:lastRenderedPageBreak/>
              <w:t>would be recognized if the grant was cash and the cash used for the specified activities.</w:t>
            </w:r>
          </w:p>
          <w:p w14:paraId="7CC10561" w14:textId="43BD6C66" w:rsidR="003130CF" w:rsidRPr="003130CF" w:rsidRDefault="003130CF" w:rsidP="00EE70DF">
            <w:pPr>
              <w:rPr>
                <w:rFonts w:ascii="Open Sans" w:hAnsi="Open Sans" w:cs="Open Sans"/>
                <w:sz w:val="20"/>
                <w:szCs w:val="20"/>
                <w:lang w:val="en-US"/>
              </w:rPr>
            </w:pP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494B1396" w14:textId="77777777" w:rsidR="003130CF" w:rsidRDefault="003130CF" w:rsidP="003130CF">
            <w:pPr>
              <w:rPr>
                <w:rFonts w:ascii="Open Sans" w:hAnsi="Open Sans" w:cs="Open San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603B375C" w14:textId="77777777" w:rsidR="003130CF" w:rsidRDefault="003130CF" w:rsidP="003130CF">
            <w:pPr>
              <w:rPr>
                <w:rFonts w:ascii="Open Sans" w:hAnsi="Open Sans" w:cs="Open San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AC7A467" w14:textId="77777777" w:rsidR="003130CF" w:rsidRDefault="003130CF" w:rsidP="003130CF">
            <w:pPr>
              <w:rPr>
                <w:rFonts w:ascii="Open Sans" w:hAnsi="Open Sans" w:cs="Open Sans"/>
                <w:sz w:val="20"/>
                <w:szCs w:val="20"/>
                <w:lang w:val="en-US"/>
              </w:rPr>
            </w:pPr>
            <w:r w:rsidRPr="003130CF">
              <w:rPr>
                <w:rFonts w:ascii="Open Sans" w:hAnsi="Open Sans" w:cs="Open Sans"/>
                <w:sz w:val="20"/>
                <w:szCs w:val="20"/>
                <w:lang w:val="en-US"/>
              </w:rPr>
              <w:t xml:space="preserve">Refer to my response for </w:t>
            </w:r>
            <w:r>
              <w:rPr>
                <w:rFonts w:ascii="Open Sans" w:hAnsi="Open Sans" w:cs="Open Sans"/>
                <w:sz w:val="20"/>
                <w:szCs w:val="20"/>
                <w:lang w:val="en-US"/>
              </w:rPr>
              <w:t>Q</w:t>
            </w:r>
            <w:r w:rsidRPr="003130CF">
              <w:rPr>
                <w:rFonts w:ascii="Open Sans" w:hAnsi="Open Sans" w:cs="Open Sans"/>
                <w:sz w:val="20"/>
                <w:szCs w:val="20"/>
                <w:lang w:val="en-US"/>
              </w:rPr>
              <w:t>5(a) – I do not agree with the proposed grant expense accounting.</w:t>
            </w:r>
          </w:p>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75594DA8" w:rsidR="007312A9" w:rsidRPr="00B052B1" w:rsidRDefault="00B052B1" w:rsidP="007312A9">
            <w:pPr>
              <w:rPr>
                <w:rFonts w:ascii="Open Sans" w:hAnsi="Open Sans" w:cs="Open Sans"/>
                <w:sz w:val="20"/>
                <w:szCs w:val="20"/>
                <w:lang w:val="en-US"/>
              </w:rPr>
            </w:pPr>
            <w:r w:rsidRPr="00B052B1">
              <w:rPr>
                <w:rFonts w:ascii="Open Sans" w:hAnsi="Open Sans" w:cs="Open Sans"/>
                <w:sz w:val="20"/>
                <w:szCs w:val="20"/>
                <w:lang w:val="en-US"/>
              </w:rPr>
              <w:t>I agree</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8300A48" w:rsidR="00563EEE" w:rsidRPr="00B052B1" w:rsidRDefault="00B052B1" w:rsidP="00563EEE">
            <w:pPr>
              <w:rPr>
                <w:rFonts w:ascii="Open Sans" w:hAnsi="Open Sans" w:cs="Open Sans"/>
                <w:sz w:val="20"/>
                <w:szCs w:val="20"/>
                <w:lang w:val="en-US"/>
              </w:rPr>
            </w:pPr>
            <w:r w:rsidRPr="00B052B1">
              <w:rPr>
                <w:rFonts w:ascii="Open Sans" w:hAnsi="Open Sans" w:cs="Open Sans"/>
                <w:sz w:val="20"/>
                <w:szCs w:val="20"/>
                <w:lang w:val="en-US"/>
              </w:rPr>
              <w:t>I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3EF80812" w:rsidR="00240FA8" w:rsidRPr="00CD735A" w:rsidRDefault="00CD735A" w:rsidP="00240FA8">
            <w:pPr>
              <w:rPr>
                <w:rFonts w:ascii="Open Sans" w:hAnsi="Open Sans" w:cs="Open Sans"/>
                <w:sz w:val="20"/>
                <w:szCs w:val="20"/>
                <w:lang w:val="en-US"/>
              </w:rPr>
            </w:pPr>
            <w:r w:rsidRPr="00CD735A">
              <w:rPr>
                <w:rFonts w:ascii="Open Sans" w:hAnsi="Open Sans" w:cs="Open Sans"/>
                <w:sz w:val="20"/>
                <w:szCs w:val="20"/>
                <w:lang w:val="en-US"/>
              </w:rPr>
              <w:t>I agree</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0888246C" w:rsidR="00240FA8" w:rsidRPr="00CD735A" w:rsidRDefault="00CD735A" w:rsidP="00240FA8">
            <w:pPr>
              <w:rPr>
                <w:rFonts w:ascii="Open Sans" w:hAnsi="Open Sans" w:cs="Open Sans"/>
                <w:sz w:val="20"/>
                <w:szCs w:val="20"/>
                <w:lang w:val="en-US"/>
              </w:rPr>
            </w:pPr>
            <w:r w:rsidRPr="00CD735A">
              <w:rPr>
                <w:rFonts w:ascii="Open Sans" w:hAnsi="Open Sans" w:cs="Open Sans"/>
                <w:sz w:val="20"/>
                <w:szCs w:val="20"/>
                <w:lang w:val="en-US"/>
              </w:rPr>
              <w:t>I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lastRenderedPageBreak/>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03B9F737" w:rsidR="0083399D" w:rsidRPr="00CD735A" w:rsidRDefault="00CD735A" w:rsidP="0083399D">
            <w:pPr>
              <w:jc w:val="both"/>
              <w:rPr>
                <w:rFonts w:ascii="Open Sans" w:hAnsi="Open Sans" w:cs="Open Sans"/>
                <w:sz w:val="20"/>
                <w:szCs w:val="20"/>
                <w:lang w:val="en-US"/>
              </w:rPr>
            </w:pPr>
            <w:r w:rsidRPr="00CD735A">
              <w:rPr>
                <w:rFonts w:ascii="Open Sans" w:hAnsi="Open Sans" w:cs="Open Sans"/>
                <w:sz w:val="20"/>
                <w:szCs w:val="20"/>
                <w:lang w:val="en-US"/>
              </w:rPr>
              <w:t>No suggestions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2A95F3FF" w:rsidR="001A2764" w:rsidRPr="00CD735A" w:rsidRDefault="00CD735A" w:rsidP="001A2764">
            <w:pPr>
              <w:jc w:val="both"/>
              <w:rPr>
                <w:rFonts w:ascii="Open Sans" w:hAnsi="Open Sans" w:cs="Open Sans"/>
                <w:sz w:val="20"/>
                <w:szCs w:val="20"/>
                <w:lang w:val="nl-NL"/>
              </w:rPr>
            </w:pPr>
            <w:r w:rsidRPr="00CD735A">
              <w:rPr>
                <w:rFonts w:ascii="Open Sans" w:hAnsi="Open Sans" w:cs="Open Sans"/>
                <w:sz w:val="20"/>
                <w:szCs w:val="20"/>
                <w:lang w:val="nl-NL"/>
              </w:rPr>
              <w:t>I agree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principle that exchange gains and losses are shown as </w:t>
            </w:r>
            <w:r>
              <w:rPr>
                <w:rFonts w:ascii="Open Sans" w:hAnsi="Open Sans" w:cs="Open Sans"/>
                <w:sz w:val="20"/>
                <w:szCs w:val="20"/>
              </w:rPr>
              <w:lastRenderedPageBreak/>
              <w:t>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lastRenderedPageBreak/>
              <w:t>G30.12, G30.20 (c)</w:t>
            </w:r>
          </w:p>
        </w:tc>
        <w:tc>
          <w:tcPr>
            <w:tcW w:w="8282" w:type="dxa"/>
          </w:tcPr>
          <w:p w14:paraId="5CEAE535" w14:textId="194F247F" w:rsidR="001A2764" w:rsidRPr="00CD735A" w:rsidRDefault="00CD735A" w:rsidP="001A2764">
            <w:pPr>
              <w:jc w:val="both"/>
              <w:rPr>
                <w:rFonts w:ascii="Open Sans" w:hAnsi="Open Sans" w:cs="Open Sans"/>
                <w:sz w:val="20"/>
                <w:szCs w:val="20"/>
                <w:lang w:val="nl-NL"/>
              </w:rPr>
            </w:pPr>
            <w:r w:rsidRPr="00CD735A">
              <w:rPr>
                <w:rFonts w:ascii="Open Sans" w:hAnsi="Open Sans" w:cs="Open Sans"/>
                <w:sz w:val="20"/>
                <w:szCs w:val="20"/>
                <w:lang w:val="nl-NL"/>
              </w:rPr>
              <w:t>I do not agree with fund accounting.</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5106D4F" w:rsidR="001A2764" w:rsidRPr="00EB6705" w:rsidRDefault="00CD735A" w:rsidP="001A2764">
            <w:pPr>
              <w:jc w:val="both"/>
              <w:rPr>
                <w:rFonts w:ascii="Open Sans" w:hAnsi="Open Sans" w:cs="Open Sans"/>
                <w:b/>
                <w:bCs/>
                <w:sz w:val="20"/>
                <w:szCs w:val="20"/>
                <w:lang w:val="nl-NL"/>
              </w:rPr>
            </w:pPr>
            <w:r w:rsidRPr="00CD735A">
              <w:rPr>
                <w:rFonts w:ascii="Open Sans" w:hAnsi="Open Sans" w:cs="Open Sans"/>
                <w:sz w:val="20"/>
                <w:szCs w:val="20"/>
                <w:lang w:val="nl-NL"/>
              </w:rPr>
              <w:t>I do not agree with fund accounting.</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4FBE371E" w:rsidR="001A2764" w:rsidRPr="00CD735A" w:rsidRDefault="00CD735A" w:rsidP="001A2764">
            <w:pPr>
              <w:jc w:val="both"/>
              <w:rPr>
                <w:rFonts w:ascii="Open Sans" w:hAnsi="Open Sans" w:cs="Open Sans"/>
                <w:sz w:val="20"/>
                <w:szCs w:val="20"/>
                <w:lang w:val="nl-NL"/>
              </w:rPr>
            </w:pPr>
            <w:r w:rsidRPr="00CD735A">
              <w:rPr>
                <w:rFonts w:ascii="Open Sans" w:hAnsi="Open Sans" w:cs="Open Sans"/>
                <w:sz w:val="20"/>
                <w:szCs w:val="20"/>
                <w:lang w:val="nl-NL"/>
              </w:rPr>
              <w:t>No suggestions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12DC5A26" w:rsidR="009A5B0D" w:rsidRPr="00CD735A" w:rsidRDefault="00CD735A" w:rsidP="009A5B0D">
            <w:pPr>
              <w:jc w:val="both"/>
              <w:rPr>
                <w:rFonts w:ascii="Open Sans" w:hAnsi="Open Sans" w:cs="Open Sans"/>
                <w:sz w:val="20"/>
                <w:szCs w:val="20"/>
                <w:lang w:val="en-US"/>
              </w:rPr>
            </w:pPr>
            <w:r w:rsidRPr="00CD735A">
              <w:rPr>
                <w:rFonts w:ascii="Open Sans" w:hAnsi="Open Sans" w:cs="Open Sans"/>
                <w:sz w:val="20"/>
                <w:szCs w:val="20"/>
                <w:lang w:val="en-US"/>
              </w:rPr>
              <w:t>No comment</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5C3F19DC" w:rsidR="00B83B74" w:rsidRPr="00CD735A" w:rsidRDefault="00CD735A" w:rsidP="00B83B74">
            <w:pPr>
              <w:rPr>
                <w:rFonts w:ascii="Open Sans" w:hAnsi="Open Sans" w:cs="Open Sans"/>
                <w:sz w:val="20"/>
                <w:szCs w:val="20"/>
                <w:lang w:val="en-US"/>
              </w:rPr>
            </w:pPr>
            <w:r w:rsidRPr="00CD735A">
              <w:rPr>
                <w:rFonts w:ascii="Open Sans" w:hAnsi="Open Sans" w:cs="Open Sans"/>
                <w:sz w:val="20"/>
                <w:szCs w:val="20"/>
                <w:lang w:val="en-US"/>
              </w:rPr>
              <w:t>I agree</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lastRenderedPageBreak/>
              <w:t xml:space="preserve">When providing additional feedback please reference the paragraph numbers, where possible and provide a short explanation to support your comments. </w:t>
            </w:r>
          </w:p>
        </w:tc>
        <w:tc>
          <w:tcPr>
            <w:tcW w:w="9922" w:type="dxa"/>
          </w:tcPr>
          <w:p w14:paraId="15F235EF" w14:textId="26E53EE0" w:rsidR="00A55295" w:rsidRPr="00C76DB8" w:rsidRDefault="00A97BEF" w:rsidP="009F74AC">
            <w:pPr>
              <w:rPr>
                <w:rFonts w:ascii="Open Sans" w:hAnsi="Open Sans" w:cs="Open Sans"/>
                <w:b/>
                <w:bCs/>
                <w:sz w:val="20"/>
                <w:szCs w:val="20"/>
                <w:lang w:val="en-US"/>
              </w:rPr>
            </w:pPr>
            <w:r>
              <w:rPr>
                <w:rFonts w:ascii="Open Sans" w:hAnsi="Open Sans" w:cs="Open Sans"/>
                <w:b/>
                <w:bCs/>
                <w:sz w:val="20"/>
                <w:szCs w:val="20"/>
                <w:lang w:val="en-US"/>
              </w:rPr>
              <w:lastRenderedPageBreak/>
              <w:t xml:space="preserve">Section </w:t>
            </w:r>
            <w:r w:rsidR="00CD735A" w:rsidRPr="00C76DB8">
              <w:rPr>
                <w:rFonts w:ascii="Open Sans" w:hAnsi="Open Sans" w:cs="Open Sans"/>
                <w:b/>
                <w:bCs/>
                <w:sz w:val="20"/>
                <w:szCs w:val="20"/>
                <w:lang w:val="en-US"/>
              </w:rPr>
              <w:t>28 – Employee benefits – Short-term</w:t>
            </w:r>
          </w:p>
          <w:p w14:paraId="42493B00" w14:textId="57320150" w:rsidR="00CD735A" w:rsidRDefault="00C76DB8" w:rsidP="009F74AC">
            <w:pPr>
              <w:rPr>
                <w:rFonts w:ascii="Open Sans" w:hAnsi="Open Sans" w:cs="Open Sans"/>
                <w:sz w:val="20"/>
                <w:szCs w:val="20"/>
                <w:lang w:val="en-US"/>
              </w:rPr>
            </w:pPr>
            <w:r>
              <w:rPr>
                <w:rFonts w:ascii="Open Sans" w:hAnsi="Open Sans" w:cs="Open Sans"/>
                <w:sz w:val="20"/>
                <w:szCs w:val="20"/>
                <w:lang w:val="en-US"/>
              </w:rPr>
              <w:t xml:space="preserve">We have had issues in Australia in relation to annual leave and classification between short-term and long-term. Many employees in Australia carry-forward at least some of their annual leave entitlement. </w:t>
            </w:r>
            <w:r>
              <w:rPr>
                <w:rFonts w:ascii="Open Sans" w:hAnsi="Open Sans" w:cs="Open Sans"/>
                <w:sz w:val="20"/>
                <w:szCs w:val="20"/>
                <w:lang w:val="en-US"/>
              </w:rPr>
              <w:lastRenderedPageBreak/>
              <w:t>Therefore, the definition of short-term benefits of “wholly-due within twelve months” is not met. That means that annual leave is a long-term benefit – often subject to salary inflation and discounting (for probability of payments), even though accrued leave is legally due at year end. This causes practical issues when applying the employee benefits standards. This issue would also appear applicable for Section 28.</w:t>
            </w:r>
          </w:p>
          <w:p w14:paraId="6F43F669" w14:textId="77777777" w:rsidR="00135EB1" w:rsidRDefault="00135EB1" w:rsidP="00C76DB8">
            <w:pPr>
              <w:rPr>
                <w:rFonts w:ascii="Open Sans" w:hAnsi="Open Sans" w:cs="Open Sans"/>
                <w:sz w:val="20"/>
                <w:szCs w:val="20"/>
                <w:lang w:val="en-US"/>
              </w:rPr>
            </w:pPr>
          </w:p>
          <w:p w14:paraId="6D1CD33A" w14:textId="5FEE23C4" w:rsidR="00C76DB8" w:rsidRPr="00AE571F" w:rsidRDefault="00A97BEF" w:rsidP="00C76DB8">
            <w:pPr>
              <w:rPr>
                <w:rFonts w:ascii="Open Sans" w:hAnsi="Open Sans" w:cs="Open Sans"/>
                <w:b/>
                <w:bCs/>
                <w:sz w:val="20"/>
                <w:szCs w:val="20"/>
                <w:lang w:val="en-US"/>
              </w:rPr>
            </w:pPr>
            <w:r>
              <w:rPr>
                <w:rFonts w:ascii="Open Sans" w:hAnsi="Open Sans" w:cs="Open Sans"/>
                <w:b/>
                <w:bCs/>
                <w:sz w:val="20"/>
                <w:szCs w:val="20"/>
                <w:lang w:val="en-US"/>
              </w:rPr>
              <w:t xml:space="preserve">Section </w:t>
            </w:r>
            <w:r w:rsidR="00C76DB8" w:rsidRPr="00AE571F">
              <w:rPr>
                <w:rFonts w:ascii="Open Sans" w:hAnsi="Open Sans" w:cs="Open Sans"/>
                <w:b/>
                <w:bCs/>
                <w:sz w:val="20"/>
                <w:szCs w:val="20"/>
                <w:lang w:val="en-US"/>
              </w:rPr>
              <w:t xml:space="preserve">28 – Employee benefits – </w:t>
            </w:r>
            <w:r w:rsidR="00AE571F" w:rsidRPr="00AE571F">
              <w:rPr>
                <w:rFonts w:ascii="Open Sans" w:hAnsi="Open Sans" w:cs="Open Sans"/>
                <w:b/>
                <w:bCs/>
                <w:sz w:val="20"/>
                <w:szCs w:val="20"/>
                <w:lang w:val="en-US"/>
              </w:rPr>
              <w:t>Long-term benefits</w:t>
            </w:r>
          </w:p>
          <w:p w14:paraId="0C684AD5" w14:textId="2AFC5CEC" w:rsidR="00AE571F" w:rsidRDefault="00AE571F" w:rsidP="00C76DB8">
            <w:pPr>
              <w:rPr>
                <w:rFonts w:ascii="Open Sans" w:hAnsi="Open Sans" w:cs="Open Sans"/>
                <w:sz w:val="20"/>
                <w:szCs w:val="20"/>
                <w:lang w:val="en-US"/>
              </w:rPr>
            </w:pPr>
            <w:r>
              <w:rPr>
                <w:rFonts w:ascii="Open Sans" w:hAnsi="Open Sans" w:cs="Open Sans"/>
                <w:sz w:val="20"/>
                <w:szCs w:val="20"/>
                <w:lang w:val="en-US"/>
              </w:rPr>
              <w:t>It is not clear whether the present value of the benefit obligation (such as long service leave) requires the obligation to included expected future salary increases, and adjustments for the probability (or not) of achieving legal service minimums. Probability is specifically mentioned for defined benefit plans (paragraph 28.24).</w:t>
            </w:r>
          </w:p>
          <w:p w14:paraId="54043C90" w14:textId="77777777" w:rsidR="00C76DB8" w:rsidRDefault="00C76DB8" w:rsidP="00C76DB8">
            <w:pPr>
              <w:rPr>
                <w:rFonts w:ascii="Open Sans" w:hAnsi="Open Sans" w:cs="Open Sans"/>
                <w:sz w:val="20"/>
                <w:szCs w:val="20"/>
                <w:lang w:val="en-US"/>
              </w:rPr>
            </w:pPr>
          </w:p>
          <w:p w14:paraId="16003D51" w14:textId="62166E7E" w:rsidR="00AE571F" w:rsidRPr="00AE571F" w:rsidRDefault="00A97BEF" w:rsidP="00C76DB8">
            <w:pPr>
              <w:rPr>
                <w:rFonts w:ascii="Open Sans" w:hAnsi="Open Sans" w:cs="Open Sans"/>
                <w:b/>
                <w:bCs/>
                <w:sz w:val="20"/>
                <w:szCs w:val="20"/>
                <w:lang w:val="en-US"/>
              </w:rPr>
            </w:pPr>
            <w:r>
              <w:rPr>
                <w:rFonts w:ascii="Open Sans" w:hAnsi="Open Sans" w:cs="Open Sans"/>
                <w:b/>
                <w:bCs/>
                <w:sz w:val="20"/>
                <w:szCs w:val="20"/>
                <w:lang w:val="en-US"/>
              </w:rPr>
              <w:t xml:space="preserve">Section </w:t>
            </w:r>
            <w:r w:rsidR="00AE571F" w:rsidRPr="00AE571F">
              <w:rPr>
                <w:rFonts w:ascii="Open Sans" w:hAnsi="Open Sans" w:cs="Open Sans"/>
                <w:b/>
                <w:bCs/>
                <w:sz w:val="20"/>
                <w:szCs w:val="20"/>
                <w:lang w:val="en-US"/>
              </w:rPr>
              <w:t>29 – Income taxes – Taxable temporary differences</w:t>
            </w:r>
          </w:p>
          <w:p w14:paraId="1920D35E" w14:textId="778FE2CD" w:rsidR="00AE571F" w:rsidRDefault="00AE571F" w:rsidP="00C76DB8">
            <w:pPr>
              <w:rPr>
                <w:rFonts w:ascii="Open Sans" w:hAnsi="Open Sans" w:cs="Open Sans"/>
                <w:sz w:val="20"/>
                <w:szCs w:val="20"/>
                <w:lang w:val="en-US"/>
              </w:rPr>
            </w:pPr>
            <w:r>
              <w:rPr>
                <w:rFonts w:ascii="Open Sans" w:hAnsi="Open Sans" w:cs="Open Sans"/>
                <w:sz w:val="20"/>
                <w:szCs w:val="20"/>
                <w:lang w:val="en-US"/>
              </w:rPr>
              <w:t xml:space="preserve">I did not have time to check whether the exceptions include the recent amendments to IFRS for </w:t>
            </w:r>
            <w:r w:rsidR="006A01C5">
              <w:rPr>
                <w:rFonts w:ascii="Open Sans" w:hAnsi="Open Sans" w:cs="Open Sans"/>
                <w:sz w:val="20"/>
                <w:szCs w:val="20"/>
                <w:lang w:val="en-US"/>
              </w:rPr>
              <w:t>initial</w:t>
            </w:r>
            <w:r>
              <w:rPr>
                <w:rFonts w:ascii="Open Sans" w:hAnsi="Open Sans" w:cs="Open Sans"/>
                <w:sz w:val="20"/>
                <w:szCs w:val="20"/>
                <w:lang w:val="en-US"/>
              </w:rPr>
              <w:t xml:space="preserve"> permanent differences on leases and rehabilitation provisions</w:t>
            </w:r>
            <w:r w:rsidR="008643A8">
              <w:rPr>
                <w:rFonts w:ascii="Open Sans" w:hAnsi="Open Sans" w:cs="Open Sans"/>
                <w:sz w:val="20"/>
                <w:szCs w:val="20"/>
                <w:lang w:val="en-US"/>
              </w:rPr>
              <w:t xml:space="preserve"> – and also whether these changes have made their way into IFRS for SMEs</w:t>
            </w:r>
            <w:r>
              <w:rPr>
                <w:rFonts w:ascii="Open Sans" w:hAnsi="Open Sans" w:cs="Open Sans"/>
                <w:sz w:val="20"/>
                <w:szCs w:val="20"/>
                <w:lang w:val="en-US"/>
              </w:rPr>
              <w:t>.</w:t>
            </w:r>
          </w:p>
          <w:p w14:paraId="67E8759F" w14:textId="489EFAC1" w:rsidR="00AE571F" w:rsidRPr="00CD735A" w:rsidRDefault="00AE571F" w:rsidP="00C76DB8">
            <w:pPr>
              <w:rPr>
                <w:rFonts w:ascii="Open Sans" w:hAnsi="Open Sans" w:cs="Open San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788" w14:textId="77777777" w:rsidR="00007B2C" w:rsidRDefault="00007B2C" w:rsidP="009F74AC">
      <w:pPr>
        <w:spacing w:after="0" w:line="240" w:lineRule="auto"/>
      </w:pPr>
      <w:r>
        <w:separator/>
      </w:r>
    </w:p>
  </w:endnote>
  <w:endnote w:type="continuationSeparator" w:id="0">
    <w:p w14:paraId="0E5526CE" w14:textId="77777777" w:rsidR="00007B2C" w:rsidRDefault="00007B2C" w:rsidP="009F74AC">
      <w:pPr>
        <w:spacing w:after="0" w:line="240" w:lineRule="auto"/>
      </w:pPr>
      <w:r>
        <w:continuationSeparator/>
      </w:r>
    </w:p>
  </w:endnote>
  <w:endnote w:type="continuationNotice" w:id="1">
    <w:p w14:paraId="6C2DCFF4" w14:textId="77777777" w:rsidR="00007B2C" w:rsidRDefault="00007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Bol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D97" w14:textId="53B317A3" w:rsidR="00030B88" w:rsidRDefault="00030B88">
    <w:pPr>
      <w:pStyle w:val="Footer"/>
    </w:pPr>
    <w:r>
      <w:rPr>
        <w:noProof/>
      </w:rPr>
      <mc:AlternateContent>
        <mc:Choice Requires="wps">
          <w:drawing>
            <wp:anchor distT="0" distB="0" distL="0" distR="0" simplePos="0" relativeHeight="251658243" behindDoc="0" locked="0" layoutInCell="1" allowOverlap="1" wp14:anchorId="189EBD8E" wp14:editId="7673A5D4">
              <wp:simplePos x="635" y="635"/>
              <wp:positionH relativeFrom="page">
                <wp:align>center</wp:align>
              </wp:positionH>
              <wp:positionV relativeFrom="page">
                <wp:align>bottom</wp:align>
              </wp:positionV>
              <wp:extent cx="443865" cy="443865"/>
              <wp:effectExtent l="0" t="0" r="5715" b="0"/>
              <wp:wrapNone/>
              <wp:docPr id="1732085851"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2504A" w14:textId="265EFE8D"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9EBD8E" id="_x0000_t202" coordsize="21600,21600" o:spt="202" path="m,l,21600r21600,l21600,xe">
              <v:stroke joinstyle="miter"/>
              <v:path gradientshapeok="t" o:connecttype="rect"/>
            </v:shapetype>
            <v:shape id="Text Box 5" o:spid="_x0000_s1028" type="#_x0000_t202" alt="UN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3D2504A" w14:textId="265EFE8D"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A087" w14:textId="1D3148B6" w:rsidR="00B54007" w:rsidRDefault="00030B88">
    <w:pPr>
      <w:pStyle w:val="Footer"/>
      <w:jc w:val="center"/>
    </w:pPr>
    <w:r>
      <w:rPr>
        <w:noProof/>
      </w:rPr>
      <mc:AlternateContent>
        <mc:Choice Requires="wps">
          <w:drawing>
            <wp:anchor distT="0" distB="0" distL="0" distR="0" simplePos="0" relativeHeight="251658241" behindDoc="0" locked="0" layoutInCell="1" allowOverlap="1" wp14:anchorId="06BF3D18" wp14:editId="5AC7F382">
              <wp:simplePos x="914400" y="6772275"/>
              <wp:positionH relativeFrom="page">
                <wp:align>center</wp:align>
              </wp:positionH>
              <wp:positionV relativeFrom="page">
                <wp:align>bottom</wp:align>
              </wp:positionV>
              <wp:extent cx="443865" cy="443865"/>
              <wp:effectExtent l="0" t="0" r="5715" b="0"/>
              <wp:wrapNone/>
              <wp:docPr id="232406268" name="Text Box 6"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69DFC" w14:textId="4877A436"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F3D18" id="_x0000_t202" coordsize="21600,21600" o:spt="202" path="m,l,21600r21600,l21600,xe">
              <v:stroke joinstyle="miter"/>
              <v:path gradientshapeok="t" o:connecttype="rect"/>
            </v:shapetype>
            <v:shape id="Text Box 6" o:spid="_x0000_s1029" type="#_x0000_t202" alt="UN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4D69DFC" w14:textId="4877A436"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v:textbox>
              <w10:wrap anchorx="page" anchory="page"/>
            </v:shape>
          </w:pict>
        </mc:Fallback>
      </mc:AlternateContent>
    </w:r>
    <w:sdt>
      <w:sdtPr>
        <w:id w:val="-385496925"/>
        <w:docPartObj>
          <w:docPartGallery w:val="Page Numbers (Bottom of Page)"/>
          <w:docPartUnique/>
        </w:docPartObj>
      </w:sdtPr>
      <w:sdtEndPr>
        <w:rPr>
          <w:noProof/>
        </w:rPr>
      </w:sdtEndPr>
      <w:sdtContent>
        <w:r w:rsidR="00B54007">
          <w:fldChar w:fldCharType="begin"/>
        </w:r>
        <w:r w:rsidR="00B54007">
          <w:instrText xml:space="preserve"> PAGE   \* MERGEFORMAT </w:instrText>
        </w:r>
        <w:r w:rsidR="00B54007">
          <w:fldChar w:fldCharType="separate"/>
        </w:r>
        <w:r w:rsidR="00B54007">
          <w:rPr>
            <w:noProof/>
          </w:rPr>
          <w:t>2</w:t>
        </w:r>
        <w:r w:rsidR="00B54007">
          <w:rPr>
            <w:noProof/>
          </w:rPr>
          <w:fldChar w:fldCharType="end"/>
        </w:r>
      </w:sdtContent>
    </w:sdt>
  </w:p>
  <w:p w14:paraId="33F0D5BB" w14:textId="77777777" w:rsidR="00B54007" w:rsidRDefault="00B54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6BC" w14:textId="0D07414B" w:rsidR="00030B88" w:rsidRDefault="00030B88">
    <w:pPr>
      <w:pStyle w:val="Footer"/>
    </w:pPr>
    <w:r>
      <w:rPr>
        <w:noProof/>
      </w:rPr>
      <mc:AlternateContent>
        <mc:Choice Requires="wps">
          <w:drawing>
            <wp:anchor distT="0" distB="0" distL="0" distR="0" simplePos="0" relativeHeight="251658245" behindDoc="0" locked="0" layoutInCell="1" allowOverlap="1" wp14:anchorId="6A609AAF" wp14:editId="0DE7CD43">
              <wp:simplePos x="635" y="635"/>
              <wp:positionH relativeFrom="page">
                <wp:align>center</wp:align>
              </wp:positionH>
              <wp:positionV relativeFrom="page">
                <wp:align>bottom</wp:align>
              </wp:positionV>
              <wp:extent cx="443865" cy="443865"/>
              <wp:effectExtent l="0" t="0" r="5715" b="0"/>
              <wp:wrapNone/>
              <wp:docPr id="1436475219"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5BB4C" w14:textId="387EFC92"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609AAF" id="_x0000_t202" coordsize="21600,21600" o:spt="202" path="m,l,21600r21600,l21600,xe">
              <v:stroke joinstyle="miter"/>
              <v:path gradientshapeok="t" o:connecttype="rect"/>
            </v:shapetype>
            <v:shape id="Text Box 4" o:spid="_x0000_s1031" type="#_x0000_t202" alt="UN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ED5BB4C" w14:textId="387EFC92" w:rsidR="00030B88" w:rsidRPr="00030B88" w:rsidRDefault="00030B88" w:rsidP="00030B88">
                    <w:pPr>
                      <w:spacing w:after="0"/>
                      <w:rPr>
                        <w:rFonts w:ascii="Calibri" w:eastAsia="Calibri" w:hAnsi="Calibri" w:cs="Calibri"/>
                        <w:noProof/>
                        <w:color w:val="000000"/>
                        <w:sz w:val="20"/>
                        <w:szCs w:val="20"/>
                      </w:rPr>
                    </w:pPr>
                    <w:r w:rsidRPr="00030B88">
                      <w:rPr>
                        <w:rFonts w:ascii="Calibri" w:eastAsia="Calibri" w:hAnsi="Calibri" w:cs="Calibri"/>
                        <w:noProof/>
                        <w:color w:val="000000"/>
                        <w:sz w:val="20"/>
                        <w:szCs w:val="20"/>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5762" w14:textId="77777777" w:rsidR="00007B2C" w:rsidRDefault="00007B2C" w:rsidP="009F74AC">
      <w:pPr>
        <w:spacing w:after="0" w:line="240" w:lineRule="auto"/>
      </w:pPr>
      <w:r>
        <w:separator/>
      </w:r>
    </w:p>
  </w:footnote>
  <w:footnote w:type="continuationSeparator" w:id="0">
    <w:p w14:paraId="1EF32DDF" w14:textId="77777777" w:rsidR="00007B2C" w:rsidRDefault="00007B2C" w:rsidP="009F74AC">
      <w:pPr>
        <w:spacing w:after="0" w:line="240" w:lineRule="auto"/>
      </w:pPr>
      <w:r>
        <w:continuationSeparator/>
      </w:r>
    </w:p>
  </w:footnote>
  <w:footnote w:type="continuationNotice" w:id="1">
    <w:p w14:paraId="3D2DD48E" w14:textId="77777777" w:rsidR="00007B2C" w:rsidRDefault="00007B2C">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FB18" w14:textId="113F5D04" w:rsidR="00030B88" w:rsidRDefault="00030B88">
    <w:pPr>
      <w:pStyle w:val="Header"/>
    </w:pPr>
    <w:r>
      <w:rPr>
        <w:noProof/>
      </w:rPr>
      <mc:AlternateContent>
        <mc:Choice Requires="wps">
          <w:drawing>
            <wp:anchor distT="0" distB="0" distL="0" distR="0" simplePos="0" relativeHeight="251658242" behindDoc="0" locked="0" layoutInCell="1" allowOverlap="1" wp14:anchorId="46E00F09" wp14:editId="343C16C3">
              <wp:simplePos x="635" y="635"/>
              <wp:positionH relativeFrom="page">
                <wp:align>center</wp:align>
              </wp:positionH>
              <wp:positionV relativeFrom="page">
                <wp:align>top</wp:align>
              </wp:positionV>
              <wp:extent cx="443865" cy="443865"/>
              <wp:effectExtent l="0" t="0" r="6985" b="13970"/>
              <wp:wrapNone/>
              <wp:docPr id="1184786066"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CC698" w14:textId="490B920E"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E00F09"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56CC698" w14:textId="490B920E"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7E0B9CF8" w:rsidR="00A84272" w:rsidRDefault="00030B88" w:rsidP="00A84272">
    <w:pPr>
      <w:pStyle w:val="Header"/>
      <w:jc w:val="center"/>
    </w:pPr>
    <w:r>
      <w:rPr>
        <w:noProof/>
      </w:rPr>
      <mc:AlternateContent>
        <mc:Choice Requires="wps">
          <w:drawing>
            <wp:anchor distT="0" distB="0" distL="0" distR="0" simplePos="0" relativeHeight="251658240" behindDoc="0" locked="0" layoutInCell="1" allowOverlap="1" wp14:anchorId="1E91E164" wp14:editId="1862F0AD">
              <wp:simplePos x="914400" y="452438"/>
              <wp:positionH relativeFrom="page">
                <wp:align>center</wp:align>
              </wp:positionH>
              <wp:positionV relativeFrom="page">
                <wp:align>top</wp:align>
              </wp:positionV>
              <wp:extent cx="443865" cy="443865"/>
              <wp:effectExtent l="0" t="0" r="6985" b="13970"/>
              <wp:wrapNone/>
              <wp:docPr id="846043374"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9FDFF" w14:textId="23A1D07E"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91E164" id="_x0000_t202" coordsize="21600,21600" o:spt="202" path="m,l,21600r21600,l21600,xe">
              <v:stroke joinstyle="miter"/>
              <v:path gradientshapeok="t" o:connecttype="rect"/>
            </v:shapetype>
            <v:shape id="Text Box 3" o:spid="_x0000_s1027" type="#_x0000_t202" alt="UN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A49FDFF" w14:textId="23A1D07E"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v:textbox>
              <w10:wrap anchorx="page" anchory="page"/>
            </v:shape>
          </w:pict>
        </mc:Fallback>
      </mc:AlternateContent>
    </w:r>
    <w:r w:rsidR="00A84272">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5CD0" w14:textId="295E9061" w:rsidR="00030B88" w:rsidRDefault="00030B88">
    <w:pPr>
      <w:pStyle w:val="Header"/>
    </w:pPr>
    <w:r>
      <w:rPr>
        <w:noProof/>
      </w:rPr>
      <mc:AlternateContent>
        <mc:Choice Requires="wps">
          <w:drawing>
            <wp:anchor distT="0" distB="0" distL="0" distR="0" simplePos="0" relativeHeight="251658244" behindDoc="0" locked="0" layoutInCell="1" allowOverlap="1" wp14:anchorId="2BD5A1FF" wp14:editId="666A74A3">
              <wp:simplePos x="635" y="635"/>
              <wp:positionH relativeFrom="page">
                <wp:align>center</wp:align>
              </wp:positionH>
              <wp:positionV relativeFrom="page">
                <wp:align>top</wp:align>
              </wp:positionV>
              <wp:extent cx="443865" cy="443865"/>
              <wp:effectExtent l="0" t="0" r="6985" b="13970"/>
              <wp:wrapNone/>
              <wp:docPr id="646289685"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5ECC3" w14:textId="4A18BDE5"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D5A1FF" id="_x0000_t202" coordsize="21600,21600" o:spt="202" path="m,l,21600r21600,l21600,xe">
              <v:stroke joinstyle="miter"/>
              <v:path gradientshapeok="t" o:connecttype="rect"/>
            </v:shapetype>
            <v:shape id="Text Box 1" o:spid="_x0000_s1030" type="#_x0000_t202" alt="UN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EC5ECC3" w14:textId="4A18BDE5" w:rsidR="00030B88" w:rsidRPr="00030B88" w:rsidRDefault="00030B88" w:rsidP="00030B88">
                    <w:pPr>
                      <w:spacing w:after="0"/>
                      <w:rPr>
                        <w:rFonts w:ascii="Arial" w:eastAsia="Arial" w:hAnsi="Arial" w:cs="Arial"/>
                        <w:noProof/>
                        <w:color w:val="363F7C"/>
                        <w:sz w:val="20"/>
                        <w:szCs w:val="20"/>
                      </w:rPr>
                    </w:pPr>
                    <w:r w:rsidRPr="00030B88">
                      <w:rPr>
                        <w:rFonts w:ascii="Arial" w:eastAsia="Arial" w:hAnsi="Arial" w:cs="Arial"/>
                        <w:noProof/>
                        <w:color w:val="363F7C"/>
                        <w:sz w:val="20"/>
                        <w:szCs w:val="20"/>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0B88"/>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35EB1"/>
    <w:rsid w:val="001426D0"/>
    <w:rsid w:val="001453AF"/>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17880"/>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00998"/>
    <w:rsid w:val="003130CF"/>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7407B"/>
    <w:rsid w:val="00587AC9"/>
    <w:rsid w:val="005A5896"/>
    <w:rsid w:val="005A718A"/>
    <w:rsid w:val="005B3F30"/>
    <w:rsid w:val="005B6CC3"/>
    <w:rsid w:val="005C00E4"/>
    <w:rsid w:val="005C792B"/>
    <w:rsid w:val="005D2FF0"/>
    <w:rsid w:val="005E6190"/>
    <w:rsid w:val="005F18AF"/>
    <w:rsid w:val="005F2F75"/>
    <w:rsid w:val="005F6717"/>
    <w:rsid w:val="00611507"/>
    <w:rsid w:val="00621A31"/>
    <w:rsid w:val="00623B8E"/>
    <w:rsid w:val="00630075"/>
    <w:rsid w:val="006463FF"/>
    <w:rsid w:val="00651710"/>
    <w:rsid w:val="00661242"/>
    <w:rsid w:val="00675790"/>
    <w:rsid w:val="0068267D"/>
    <w:rsid w:val="00692087"/>
    <w:rsid w:val="00694053"/>
    <w:rsid w:val="00696DC5"/>
    <w:rsid w:val="006A01C5"/>
    <w:rsid w:val="006A024F"/>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46636"/>
    <w:rsid w:val="00754448"/>
    <w:rsid w:val="007661F1"/>
    <w:rsid w:val="0077222F"/>
    <w:rsid w:val="00790FFE"/>
    <w:rsid w:val="007912AA"/>
    <w:rsid w:val="00791E3A"/>
    <w:rsid w:val="007953CE"/>
    <w:rsid w:val="00796EFC"/>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634"/>
    <w:rsid w:val="00826B08"/>
    <w:rsid w:val="0083399D"/>
    <w:rsid w:val="00841B58"/>
    <w:rsid w:val="00850BFE"/>
    <w:rsid w:val="00860251"/>
    <w:rsid w:val="008643A8"/>
    <w:rsid w:val="00865ACC"/>
    <w:rsid w:val="00876D53"/>
    <w:rsid w:val="0088436D"/>
    <w:rsid w:val="008A1B93"/>
    <w:rsid w:val="008A350D"/>
    <w:rsid w:val="008C6B40"/>
    <w:rsid w:val="008C7009"/>
    <w:rsid w:val="008C76B2"/>
    <w:rsid w:val="008E43FF"/>
    <w:rsid w:val="008E57E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0739"/>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BEF"/>
    <w:rsid w:val="00A97EFD"/>
    <w:rsid w:val="00AB5BDD"/>
    <w:rsid w:val="00AC4F2A"/>
    <w:rsid w:val="00AC6610"/>
    <w:rsid w:val="00AD01FF"/>
    <w:rsid w:val="00AE571F"/>
    <w:rsid w:val="00B00F86"/>
    <w:rsid w:val="00B052B1"/>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6DB8"/>
    <w:rsid w:val="00C77881"/>
    <w:rsid w:val="00C8003A"/>
    <w:rsid w:val="00C806B8"/>
    <w:rsid w:val="00C95766"/>
    <w:rsid w:val="00CA5E81"/>
    <w:rsid w:val="00CA66E2"/>
    <w:rsid w:val="00CB6DFA"/>
    <w:rsid w:val="00CC250B"/>
    <w:rsid w:val="00CC2D7B"/>
    <w:rsid w:val="00CC7FF9"/>
    <w:rsid w:val="00CD735A"/>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2F2F"/>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9702B"/>
    <w:rsid w:val="00FB43E6"/>
    <w:rsid w:val="00FB6CC9"/>
    <w:rsid w:val="00FC5639"/>
    <w:rsid w:val="00FC5E2D"/>
    <w:rsid w:val="00FC76E0"/>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paragraph" w:customStyle="1" w:styleId="Default">
    <w:name w:val="Default"/>
    <w:rsid w:val="0074663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23" Type="http://schemas.openxmlformats.org/officeDocument/2006/relationships/theme" Target="theme/theme1.xml"/><Relationship Id="rId10" Type="http://schemas.openxmlformats.org/officeDocument/2006/relationships/hyperlink" Target="http://www.ifr4npo.org/exposure-draft-2"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f387e043-b8b7-437b-a681-ae3ddade6802"/>
    <ds:schemaRef ds:uri="b5622043-84c9-419c-8675-e1f96a728305"/>
    <ds:schemaRef ds:uri="http://schemas.microsoft.com/office/infopath/2007/PartnerControls"/>
    <ds:schemaRef ds:uri="http://schemas.openxmlformats.org/package/2006/metadata/core-properties"/>
    <ds:schemaRef ds:uri="http://purl.org/dc/elements/1.1/"/>
  </ds:schemaRefs>
</ds:datastoreItem>
</file>

<file path=docMetadata/LabelInfo.xml><?xml version="1.0" encoding="utf-8"?>
<clbl:labelList xmlns:clbl="http://schemas.microsoft.com/office/2020/mipLabelMetadata">
  <clbl:label id="{83db87b0-1f45-420f-bc11-6b4021fe10d2}" enabled="1" method="Privileged" siteId="{605a0329-305a-41bc-9d37-80e802f4ab53}" removed="0"/>
</clbl:labelList>
</file>

<file path=docProps/app.xml><?xml version="1.0" encoding="utf-8"?>
<Properties xmlns="http://schemas.openxmlformats.org/officeDocument/2006/extended-properties" xmlns:vt="http://schemas.openxmlformats.org/officeDocument/2006/docPropsVTypes">
  <Template>Normal.dotm</Template>
  <TotalTime>386</TotalTime>
  <Pages>22</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David</cp:lastModifiedBy>
  <cp:revision>22</cp:revision>
  <dcterms:created xsi:type="dcterms:W3CDTF">2023-09-21T14:16:00Z</dcterms:created>
  <dcterms:modified xsi:type="dcterms:W3CDTF">2024-03-18T12:03:00Z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y fmtid="{D5CDD505-2E9C-101B-9397-08002B2CF9AE}" pid="5" name="ClassificationContentMarkingHeaderShapeIds">
    <vt:lpwstr>26859915,469e6692,326d98ee</vt:lpwstr>
  </property>
  <property fmtid="{D5CDD505-2E9C-101B-9397-08002B2CF9AE}" pid="6" name="ClassificationContentMarkingHeaderFontProps">
    <vt:lpwstr>#363f7c,10,Arial</vt:lpwstr>
  </property>
  <property fmtid="{D5CDD505-2E9C-101B-9397-08002B2CF9AE}" pid="7" name="ClassificationContentMarkingHeaderText">
    <vt:lpwstr>UNOFFICIAL</vt:lpwstr>
  </property>
  <property fmtid="{D5CDD505-2E9C-101B-9397-08002B2CF9AE}" pid="8" name="ClassificationContentMarkingFooterShapeIds">
    <vt:lpwstr>559edf53,673d885b,dda3cfc</vt:lpwstr>
  </property>
  <property fmtid="{D5CDD505-2E9C-101B-9397-08002B2CF9AE}" pid="9" name="ClassificationContentMarkingFooterFontProps">
    <vt:lpwstr>#000000,10,Calibri</vt:lpwstr>
  </property>
  <property fmtid="{D5CDD505-2E9C-101B-9397-08002B2CF9AE}" pid="10" name="ClassificationContentMarkingFooterText">
    <vt:lpwstr>UNOFFICIAL</vt:lpwstr>
  </property>
</Properties>
</file>