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01D4B1"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sz w:val="36"/>
        </w:rPr>
      </w:pPr>
      <w:r>
        <w:rPr>
          <w:rFonts w:ascii="Arial" w:eastAsia="Arial" w:hAnsi="Arial"/>
          <w:b/>
          <w:sz w:val="36"/>
        </w:rPr>
        <w:t>International Non-profit Accounting Guidance (INPAG)</w:t>
      </w:r>
    </w:p>
    <w:p w14:paraId="53494DF6"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b/>
          <w:sz w:val="36"/>
        </w:rPr>
      </w:pPr>
      <w:r>
        <w:rPr>
          <w:rFonts w:ascii="Arial" w:eastAsia="Arial" w:hAnsi="Arial"/>
          <w:b/>
          <w:sz w:val="36"/>
        </w:rPr>
        <w:t>Exposure Draft 1 Response template</w:t>
      </w:r>
    </w:p>
    <w:p w14:paraId="3E40B108"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sz w:val="28"/>
        </w:rPr>
      </w:pPr>
      <w:r>
        <w:rPr>
          <w:rFonts w:ascii="Arial" w:eastAsia="Arial" w:hAnsi="Arial"/>
          <w:sz w:val="20"/>
        </w:rPr>
        <w:t xml:space="preserve">Exposure Draft 1 can be found here: </w:t>
      </w:r>
      <w:hyperlink r:id="rId5" w:history="1">
        <w:r>
          <w:rPr>
            <w:rFonts w:ascii="Arial" w:eastAsia="Arial" w:hAnsi="Arial"/>
            <w:color w:val="0563C1"/>
            <w:sz w:val="20"/>
            <w:u w:val="single"/>
          </w:rPr>
          <w:t>www.ifr4npo.org/ed1</w:t>
        </w:r>
      </w:hyperlink>
      <w:r>
        <w:rPr>
          <w:rFonts w:ascii="Arial" w:eastAsia="Arial" w:hAnsi="Arial"/>
          <w:sz w:val="20"/>
        </w:rPr>
        <w:t xml:space="preserve">. </w:t>
      </w:r>
      <w:r>
        <w:rPr>
          <w:rFonts w:ascii="Arial" w:eastAsia="Arial" w:hAnsi="Arial"/>
          <w:b/>
          <w:sz w:val="28"/>
        </w:rPr>
        <w:t xml:space="preserve"> </w:t>
      </w:r>
      <w:r>
        <w:rPr>
          <w:rFonts w:ascii="Arial" w:eastAsia="Arial" w:hAnsi="Arial"/>
          <w:sz w:val="20"/>
        </w:rPr>
        <w:t>Please use this form to record your responses to the Specific Matters for Comment.</w:t>
      </w:r>
    </w:p>
    <w:p w14:paraId="52D45181"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0"/>
        </w:rPr>
      </w:pPr>
      <w:r>
        <w:rPr>
          <w:rFonts w:ascii="Arial" w:eastAsia="Arial" w:hAnsi="Arial"/>
          <w:sz w:val="20"/>
        </w:rPr>
        <w:t>Comments are most helpful if they:</w:t>
      </w:r>
    </w:p>
    <w:p w14:paraId="36479449" w14:textId="77777777" w:rsidR="00C74FDD" w:rsidRDefault="0029635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0"/>
        </w:rPr>
      </w:pPr>
      <w:r>
        <w:rPr>
          <w:rFonts w:ascii="Arial" w:eastAsia="Arial" w:hAnsi="Arial"/>
          <w:sz w:val="20"/>
        </w:rPr>
        <w:t>Address the question asked;</w:t>
      </w:r>
    </w:p>
    <w:p w14:paraId="731086DD" w14:textId="77777777" w:rsidR="00C74FDD" w:rsidRDefault="0029635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0"/>
        </w:rPr>
      </w:pPr>
      <w:r>
        <w:rPr>
          <w:rFonts w:ascii="Arial" w:eastAsia="Arial" w:hAnsi="Arial"/>
          <w:sz w:val="20"/>
        </w:rPr>
        <w:t>Contain a clear explanation to support the response provided, whether th</w:t>
      </w:r>
      <w:r>
        <w:rPr>
          <w:rFonts w:ascii="Arial" w:eastAsia="Arial" w:hAnsi="Arial"/>
          <w:sz w:val="20"/>
        </w:rPr>
        <w:t>is is agreeing or otherwise with any proposals made;</w:t>
      </w:r>
    </w:p>
    <w:p w14:paraId="5C12BE06" w14:textId="77777777" w:rsidR="00C74FDD" w:rsidRDefault="0029635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0"/>
        </w:rPr>
      </w:pPr>
      <w:r>
        <w:rPr>
          <w:rFonts w:ascii="Arial" w:eastAsia="Arial" w:hAnsi="Arial"/>
          <w:sz w:val="20"/>
        </w:rPr>
        <w:t>Propose alternatives for consideration, where responses are not in agreement with the proposal made;</w:t>
      </w:r>
    </w:p>
    <w:p w14:paraId="5610E231" w14:textId="77777777" w:rsidR="00C74FDD" w:rsidRDefault="0029635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0"/>
        </w:rPr>
      </w:pPr>
      <w:r>
        <w:rPr>
          <w:rFonts w:ascii="Arial" w:eastAsia="Arial" w:hAnsi="Arial"/>
          <w:sz w:val="20"/>
        </w:rPr>
        <w:t>Specify the INPAG paragraphs to which any comments relate; and</w:t>
      </w:r>
    </w:p>
    <w:p w14:paraId="60C24EDC" w14:textId="77777777" w:rsidR="00C74FDD" w:rsidRDefault="0029635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0"/>
        </w:rPr>
      </w:pPr>
      <w:r>
        <w:rPr>
          <w:rFonts w:ascii="Arial" w:eastAsia="Arial" w:hAnsi="Arial"/>
          <w:sz w:val="20"/>
        </w:rPr>
        <w:t>Identify any wording in the proposals t</w:t>
      </w:r>
      <w:r>
        <w:rPr>
          <w:rFonts w:ascii="Arial" w:eastAsia="Arial" w:hAnsi="Arial"/>
          <w:sz w:val="20"/>
        </w:rPr>
        <w:t>hat might not be clear because of how they translate.</w:t>
      </w:r>
    </w:p>
    <w:p w14:paraId="19583EB1"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0"/>
        </w:rPr>
      </w:pPr>
    </w:p>
    <w:p w14:paraId="6969CDF0"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0"/>
        </w:rPr>
      </w:pPr>
      <w:r>
        <w:rPr>
          <w:rFonts w:ascii="Arial" w:eastAsia="Arial" w:hAnsi="Arial"/>
          <w:sz w:val="20"/>
        </w:rPr>
        <w:t>The text boxes will expand as required.  There is no size limit. There are 12 question areas. You do not need to answer all questions and can choose to answer as many or as few as you wish.</w:t>
      </w:r>
    </w:p>
    <w:p w14:paraId="1B0E4E86"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0"/>
        </w:rPr>
      </w:pPr>
      <w:r>
        <w:rPr>
          <w:rFonts w:ascii="Arial" w:eastAsia="Arial" w:hAnsi="Arial"/>
          <w:sz w:val="20"/>
        </w:rPr>
        <w:t>Responses m</w:t>
      </w:r>
      <w:r>
        <w:rPr>
          <w:rFonts w:ascii="Arial" w:eastAsia="Arial" w:hAnsi="Arial"/>
          <w:sz w:val="20"/>
        </w:rPr>
        <w:t xml:space="preserve">ust be received by </w:t>
      </w:r>
      <w:r>
        <w:rPr>
          <w:rFonts w:ascii="Arial" w:eastAsia="Arial" w:hAnsi="Arial"/>
          <w:b/>
          <w:sz w:val="20"/>
        </w:rPr>
        <w:t>31 March 2023 and must be in English</w:t>
      </w:r>
      <w:r>
        <w:rPr>
          <w:rFonts w:ascii="Arial" w:eastAsia="Arial" w:hAnsi="Arial"/>
          <w:sz w:val="20"/>
        </w:rPr>
        <w:t xml:space="preserve">. </w:t>
      </w:r>
    </w:p>
    <w:p w14:paraId="0EE73875"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0"/>
        </w:rPr>
      </w:pPr>
      <w:r>
        <w:rPr>
          <w:rFonts w:ascii="Arial" w:eastAsia="Arial" w:hAnsi="Arial"/>
          <w:sz w:val="20"/>
        </w:rPr>
        <w:t xml:space="preserve">Please contact </w:t>
      </w:r>
      <w:hyperlink r:id="rId6" w:history="1">
        <w:r>
          <w:rPr>
            <w:rFonts w:ascii="Arial" w:eastAsia="Arial" w:hAnsi="Arial"/>
            <w:color w:val="0563C1"/>
            <w:sz w:val="20"/>
            <w:u w:val="single"/>
          </w:rPr>
          <w:t>info@ifr4npo.org</w:t>
        </w:r>
      </w:hyperlink>
      <w:r>
        <w:rPr>
          <w:rFonts w:ascii="Arial" w:eastAsia="Arial" w:hAnsi="Arial"/>
          <w:sz w:val="20"/>
        </w:rPr>
        <w:t xml:space="preserve"> if you have queries. </w:t>
      </w:r>
    </w:p>
    <w:p w14:paraId="576DA8CF"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sz w:val="20"/>
        </w:rPr>
      </w:pPr>
      <w:r>
        <w:rPr>
          <w:rFonts w:ascii="Arial" w:eastAsia="Arial" w:hAnsi="Arial"/>
          <w:sz w:val="20"/>
        </w:rPr>
        <w:t xml:space="preserve">Responses can be submitted to </w:t>
      </w:r>
      <w:hyperlink r:id="rId7" w:history="1">
        <w:r>
          <w:rPr>
            <w:rFonts w:ascii="Arial" w:eastAsia="Arial" w:hAnsi="Arial"/>
            <w:color w:val="0563C1"/>
            <w:sz w:val="20"/>
            <w:u w:val="single"/>
          </w:rPr>
          <w:t>ifr4npo@cipfa.org</w:t>
        </w:r>
      </w:hyperlink>
      <w:r>
        <w:rPr>
          <w:rFonts w:ascii="Arial" w:eastAsia="Arial" w:hAnsi="Arial"/>
          <w:sz w:val="20"/>
        </w:rPr>
        <w:t xml:space="preserve"> or through the website at </w:t>
      </w:r>
      <w:hyperlink r:id="rId8" w:history="1">
        <w:r>
          <w:rPr>
            <w:rFonts w:ascii="Arial" w:eastAsia="Arial" w:hAnsi="Arial"/>
            <w:color w:val="0563C1"/>
            <w:sz w:val="20"/>
            <w:u w:val="single"/>
          </w:rPr>
          <w:t>www.ifr4npo.org/</w:t>
        </w:r>
      </w:hyperlink>
      <w:r>
        <w:rPr>
          <w:rFonts w:ascii="Arial" w:eastAsia="Arial" w:hAnsi="Arial"/>
          <w:color w:val="0563C1"/>
          <w:sz w:val="20"/>
          <w:u w:val="single"/>
        </w:rPr>
        <w:t>have-your-say</w:t>
      </w:r>
      <w:r>
        <w:rPr>
          <w:rFonts w:ascii="Arial" w:eastAsia="Arial" w:hAnsi="Arial"/>
          <w:sz w:val="20"/>
        </w:rPr>
        <w:t xml:space="preserve"> </w:t>
      </w:r>
    </w:p>
    <w:p w14:paraId="24F1F1E8"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sz w:val="20"/>
        </w:rPr>
      </w:pPr>
      <w:r>
        <w:rPr>
          <w:rFonts w:ascii="Arial" w:eastAsia="Arial" w:hAnsi="Arial"/>
          <w:b/>
          <w:sz w:val="20"/>
        </w:rPr>
        <w:br w:type="page"/>
      </w:r>
      <w:r>
        <w:rPr>
          <w:rFonts w:ascii="Arial" w:eastAsia="Arial" w:hAnsi="Arial"/>
          <w:b/>
          <w:sz w:val="32"/>
        </w:rPr>
        <w:lastRenderedPageBreak/>
        <w:t>Respondent information*: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3878"/>
        <w:gridCol w:w="5386"/>
        <w:gridCol w:w="3402"/>
      </w:tblGrid>
      <w:tr w:rsidR="00C74FDD" w14:paraId="2841CA5A" w14:textId="77777777">
        <w:tc>
          <w:tcPr>
            <w:tcW w:w="1413" w:type="dxa"/>
            <w:shd w:val="clear" w:color="auto" w:fill="auto"/>
          </w:tcPr>
          <w:p w14:paraId="70DA098D"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First name:</w:t>
            </w:r>
          </w:p>
        </w:tc>
        <w:tc>
          <w:tcPr>
            <w:tcW w:w="3878" w:type="dxa"/>
            <w:shd w:val="clear" w:color="auto" w:fill="auto"/>
          </w:tcPr>
          <w:p w14:paraId="77AD4FDE"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rPr>
            </w:pPr>
            <w:r>
              <w:rPr>
                <w:rFonts w:ascii="Arial" w:eastAsia="Arial" w:hAnsi="Arial"/>
                <w:b/>
              </w:rPr>
              <w:t>Paul</w:t>
            </w:r>
          </w:p>
        </w:tc>
        <w:tc>
          <w:tcPr>
            <w:tcW w:w="5386" w:type="dxa"/>
            <w:shd w:val="clear" w:color="auto" w:fill="auto"/>
          </w:tcPr>
          <w:p w14:paraId="4EDDFC59"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 xml:space="preserve">Organisation: </w:t>
            </w:r>
            <w:r>
              <w:rPr>
                <w:rFonts w:ascii="Arial" w:eastAsia="Arial" w:hAnsi="Arial"/>
                <w:sz w:val="20"/>
              </w:rPr>
              <w:t>(who do you work for)</w:t>
            </w:r>
          </w:p>
        </w:tc>
        <w:tc>
          <w:tcPr>
            <w:tcW w:w="3402" w:type="dxa"/>
            <w:shd w:val="clear" w:color="auto" w:fill="auto"/>
          </w:tcPr>
          <w:p w14:paraId="3526B02F"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rPr>
            </w:pPr>
            <w:r>
              <w:rPr>
                <w:rFonts w:ascii="Arial" w:eastAsia="Arial" w:hAnsi="Arial"/>
                <w:b/>
              </w:rPr>
              <w:t>The Salvation Army, Canada &amp; Bermuda</w:t>
            </w:r>
          </w:p>
        </w:tc>
      </w:tr>
      <w:tr w:rsidR="00C74FDD" w14:paraId="0F689C72" w14:textId="77777777">
        <w:tc>
          <w:tcPr>
            <w:tcW w:w="1413" w:type="dxa"/>
            <w:shd w:val="clear" w:color="auto" w:fill="auto"/>
          </w:tcPr>
          <w:p w14:paraId="7EFC98E9"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Last name:</w:t>
            </w:r>
          </w:p>
        </w:tc>
        <w:tc>
          <w:tcPr>
            <w:tcW w:w="3878" w:type="dxa"/>
            <w:shd w:val="clear" w:color="auto" w:fill="auto"/>
          </w:tcPr>
          <w:p w14:paraId="3B832804"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rPr>
            </w:pPr>
            <w:r>
              <w:rPr>
                <w:rFonts w:ascii="Arial" w:eastAsia="Arial" w:hAnsi="Arial"/>
                <w:b/>
              </w:rPr>
              <w:t>Goodyear</w:t>
            </w:r>
          </w:p>
        </w:tc>
        <w:tc>
          <w:tcPr>
            <w:tcW w:w="5386" w:type="dxa"/>
            <w:shd w:val="clear" w:color="auto" w:fill="auto"/>
          </w:tcPr>
          <w:p w14:paraId="31A30795"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r>
              <w:rPr>
                <w:rFonts w:ascii="Arial" w:eastAsia="Arial" w:hAnsi="Arial"/>
                <w:b/>
                <w:sz w:val="20"/>
              </w:rPr>
              <w:t xml:space="preserve">Response: </w:t>
            </w:r>
            <w:r>
              <w:rPr>
                <w:rFonts w:ascii="Arial" w:eastAsia="Arial" w:hAnsi="Arial"/>
                <w:sz w:val="20"/>
              </w:rPr>
              <w:t xml:space="preserve">please choose from: </w:t>
            </w:r>
          </w:p>
          <w:p w14:paraId="5666A8B5" w14:textId="77777777" w:rsidR="00C74FDD" w:rsidRDefault="0029635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sz w:val="20"/>
              </w:rPr>
              <w:t xml:space="preserve">on behalf of my organisation or </w:t>
            </w:r>
          </w:p>
          <w:p w14:paraId="3B630FD4" w14:textId="77777777" w:rsidR="00C74FDD" w:rsidRDefault="0029635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sz w:val="20"/>
              </w:rPr>
              <w:t>as an individual</w:t>
            </w:r>
          </w:p>
        </w:tc>
        <w:tc>
          <w:tcPr>
            <w:tcW w:w="3402" w:type="dxa"/>
            <w:shd w:val="clear" w:color="auto" w:fill="auto"/>
          </w:tcPr>
          <w:p w14:paraId="62631D51"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rPr>
            </w:pPr>
            <w:r>
              <w:rPr>
                <w:rFonts w:ascii="Arial" w:eastAsia="Arial" w:hAnsi="Arial"/>
                <w:b/>
              </w:rPr>
              <w:t>On behalf of my organisation</w:t>
            </w:r>
          </w:p>
        </w:tc>
      </w:tr>
      <w:tr w:rsidR="00C74FDD" w14:paraId="202F8E57" w14:textId="77777777">
        <w:tc>
          <w:tcPr>
            <w:tcW w:w="1413" w:type="dxa"/>
            <w:shd w:val="clear" w:color="auto" w:fill="auto"/>
          </w:tcPr>
          <w:p w14:paraId="3B468A18"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Email:</w:t>
            </w:r>
          </w:p>
        </w:tc>
        <w:tc>
          <w:tcPr>
            <w:tcW w:w="3878" w:type="dxa"/>
            <w:shd w:val="clear" w:color="auto" w:fill="auto"/>
          </w:tcPr>
          <w:p w14:paraId="1C2C9BE7"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rPr>
            </w:pPr>
            <w:r>
              <w:rPr>
                <w:rFonts w:ascii="Arial" w:eastAsia="Arial" w:hAnsi="Arial"/>
                <w:b/>
              </w:rPr>
              <w:t>paul.goodyear@salvationarmy.ca</w:t>
            </w:r>
          </w:p>
        </w:tc>
        <w:tc>
          <w:tcPr>
            <w:tcW w:w="5386" w:type="dxa"/>
            <w:shd w:val="clear" w:color="auto" w:fill="auto"/>
          </w:tcPr>
          <w:p w14:paraId="7665B6F2"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Country:</w:t>
            </w:r>
            <w:r>
              <w:rPr>
                <w:rFonts w:ascii="Arial" w:eastAsia="Arial" w:hAnsi="Arial"/>
                <w:sz w:val="20"/>
              </w:rPr>
              <w:t xml:space="preserve"> (this should be the country in which you are based)</w:t>
            </w:r>
          </w:p>
        </w:tc>
        <w:tc>
          <w:tcPr>
            <w:tcW w:w="3402" w:type="dxa"/>
            <w:shd w:val="clear" w:color="auto" w:fill="auto"/>
          </w:tcPr>
          <w:p w14:paraId="37284D70"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rPr>
            </w:pPr>
            <w:r>
              <w:rPr>
                <w:rFonts w:ascii="Arial" w:eastAsia="Arial" w:hAnsi="Arial"/>
                <w:b/>
              </w:rPr>
              <w:t>Canada</w:t>
            </w:r>
          </w:p>
        </w:tc>
      </w:tr>
      <w:tr w:rsidR="00C74FDD" w14:paraId="60D28DD5" w14:textId="77777777">
        <w:tc>
          <w:tcPr>
            <w:tcW w:w="1413" w:type="dxa"/>
            <w:shd w:val="clear" w:color="auto" w:fill="auto"/>
          </w:tcPr>
          <w:p w14:paraId="5B74727A"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Position:</w:t>
            </w:r>
          </w:p>
        </w:tc>
        <w:tc>
          <w:tcPr>
            <w:tcW w:w="3878" w:type="dxa"/>
            <w:shd w:val="clear" w:color="auto" w:fill="auto"/>
          </w:tcPr>
          <w:p w14:paraId="1D58881E"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rPr>
            </w:pPr>
            <w:r>
              <w:rPr>
                <w:rFonts w:ascii="Arial" w:eastAsia="Arial" w:hAnsi="Arial"/>
                <w:b/>
              </w:rPr>
              <w:t>Chief Financial Officer</w:t>
            </w:r>
          </w:p>
        </w:tc>
        <w:tc>
          <w:tcPr>
            <w:tcW w:w="5386" w:type="dxa"/>
            <w:shd w:val="clear" w:color="auto" w:fill="auto"/>
          </w:tcPr>
          <w:p w14:paraId="686A998C"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r>
              <w:rPr>
                <w:rFonts w:ascii="Arial" w:eastAsia="Arial" w:hAnsi="Arial"/>
                <w:b/>
                <w:sz w:val="20"/>
              </w:rPr>
              <w:t xml:space="preserve">Professional interest: </w:t>
            </w:r>
            <w:r>
              <w:rPr>
                <w:rFonts w:ascii="Arial" w:eastAsia="Arial" w:hAnsi="Arial"/>
                <w:sz w:val="20"/>
              </w:rPr>
              <w:t xml:space="preserve">please choose from: </w:t>
            </w:r>
          </w:p>
          <w:p w14:paraId="5C9187F8" w14:textId="77777777" w:rsidR="00C74FDD" w:rsidRDefault="0029635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sz w:val="20"/>
              </w:rPr>
              <w:t xml:space="preserve">preparer, </w:t>
            </w:r>
          </w:p>
          <w:p w14:paraId="561A1573" w14:textId="77777777" w:rsidR="00C74FDD" w:rsidRDefault="0029635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sz w:val="20"/>
              </w:rPr>
              <w:t xml:space="preserve">auditor, </w:t>
            </w:r>
          </w:p>
          <w:p w14:paraId="41B5CD3F" w14:textId="77777777" w:rsidR="00C74FDD" w:rsidRDefault="0029635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sz w:val="20"/>
              </w:rPr>
              <w:t xml:space="preserve">standard setter, </w:t>
            </w:r>
          </w:p>
          <w:p w14:paraId="768FB603" w14:textId="77777777" w:rsidR="00C74FDD" w:rsidRDefault="0029635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sz w:val="20"/>
              </w:rPr>
              <w:t xml:space="preserve">professional accounting organisation, </w:t>
            </w:r>
          </w:p>
          <w:p w14:paraId="02467FEA" w14:textId="77777777" w:rsidR="00C74FDD" w:rsidRDefault="0029635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sz w:val="20"/>
              </w:rPr>
              <w:t xml:space="preserve">regulator, </w:t>
            </w:r>
          </w:p>
          <w:p w14:paraId="65A5D9FF" w14:textId="77777777" w:rsidR="00C74FDD" w:rsidRDefault="0029635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sz w:val="20"/>
              </w:rPr>
              <w:t xml:space="preserve">donor, </w:t>
            </w:r>
          </w:p>
          <w:p w14:paraId="26A8E900" w14:textId="77777777" w:rsidR="00C74FDD" w:rsidRDefault="0029635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sz w:val="20"/>
              </w:rPr>
              <w:t xml:space="preserve">academic, </w:t>
            </w:r>
          </w:p>
          <w:p w14:paraId="38FF7BEB" w14:textId="77777777" w:rsidR="00C74FDD" w:rsidRDefault="0029635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sz w:val="20"/>
              </w:rPr>
              <w:t xml:space="preserve">civil society, </w:t>
            </w:r>
          </w:p>
          <w:p w14:paraId="3C41B4D2" w14:textId="77777777" w:rsidR="00C74FDD" w:rsidRDefault="0029635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sz w:val="20"/>
              </w:rPr>
              <w:t xml:space="preserve">user of NPO services, </w:t>
            </w:r>
          </w:p>
          <w:p w14:paraId="3FC2BCF2" w14:textId="77777777" w:rsidR="00C74FDD" w:rsidRDefault="0029635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sz w:val="20"/>
              </w:rPr>
              <w:t>other (please state)</w:t>
            </w:r>
          </w:p>
        </w:tc>
        <w:tc>
          <w:tcPr>
            <w:tcW w:w="3402" w:type="dxa"/>
            <w:shd w:val="clear" w:color="auto" w:fill="auto"/>
          </w:tcPr>
          <w:p w14:paraId="2CD775E5"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rPr>
            </w:pPr>
            <w:r>
              <w:rPr>
                <w:rFonts w:ascii="Arial" w:eastAsia="Arial" w:hAnsi="Arial"/>
                <w:b/>
              </w:rPr>
              <w:t>Preparer</w:t>
            </w:r>
          </w:p>
        </w:tc>
      </w:tr>
      <w:tr w:rsidR="00C74FDD" w14:paraId="332FC51E" w14:textId="77777777">
        <w:tc>
          <w:tcPr>
            <w:tcW w:w="1413" w:type="dxa"/>
            <w:shd w:val="clear" w:color="auto" w:fill="auto"/>
          </w:tcPr>
          <w:p w14:paraId="089814B3"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3878" w:type="dxa"/>
            <w:shd w:val="clear" w:color="auto" w:fill="auto"/>
          </w:tcPr>
          <w:p w14:paraId="4D5ED538"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p>
        </w:tc>
        <w:tc>
          <w:tcPr>
            <w:tcW w:w="5386" w:type="dxa"/>
            <w:shd w:val="clear" w:color="auto" w:fill="auto"/>
          </w:tcPr>
          <w:p w14:paraId="4A26960B"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3402" w:type="dxa"/>
            <w:shd w:val="clear" w:color="auto" w:fill="auto"/>
          </w:tcPr>
          <w:p w14:paraId="4556EF86"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p>
        </w:tc>
      </w:tr>
    </w:tbl>
    <w:p w14:paraId="4AA9D6C8"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4673"/>
        <w:gridCol w:w="9277"/>
      </w:tblGrid>
      <w:tr w:rsidR="00C74FDD" w14:paraId="12D33260" w14:textId="77777777">
        <w:tc>
          <w:tcPr>
            <w:tcW w:w="4673" w:type="dxa"/>
            <w:shd w:val="clear" w:color="auto" w:fill="auto"/>
          </w:tcPr>
          <w:p w14:paraId="70A18A0C"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color w:val="000000"/>
                <w:sz w:val="20"/>
              </w:rPr>
            </w:pPr>
            <w:r>
              <w:rPr>
                <w:rFonts w:ascii="Arial" w:eastAsia="Arial" w:hAnsi="Arial"/>
                <w:color w:val="000000"/>
                <w:sz w:val="20"/>
              </w:rPr>
              <w:t xml:space="preserve">Please indicate whether you wish to receive further information about this project and consent to being contacted at the email address provided. </w:t>
            </w:r>
          </w:p>
        </w:tc>
        <w:tc>
          <w:tcPr>
            <w:tcW w:w="9277" w:type="dxa"/>
            <w:shd w:val="clear" w:color="auto" w:fill="auto"/>
          </w:tcPr>
          <w:p w14:paraId="0039F4EF"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color w:val="000000"/>
                <w:sz w:val="20"/>
              </w:rPr>
            </w:pPr>
            <w:r>
              <w:rPr>
                <w:rFonts w:ascii="Arial" w:eastAsia="Arial" w:hAnsi="Arial"/>
                <w:b/>
                <w:color w:val="000000"/>
                <w:sz w:val="20"/>
              </w:rPr>
              <w:t>Tick boxes</w:t>
            </w:r>
          </w:p>
          <w:p w14:paraId="4A7630FE"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color w:val="000000"/>
                <w:sz w:val="20"/>
              </w:rPr>
            </w:pPr>
            <w:r>
              <w:rPr>
                <w:rFonts w:ascii="Arial" w:eastAsia="Arial" w:hAnsi="Arial"/>
                <w:b/>
                <w:color w:val="000000"/>
                <w:sz w:val="20"/>
              </w:rPr>
              <w:t>Agree – Yes, please!</w:t>
            </w:r>
          </w:p>
          <w:p w14:paraId="334254A5"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color w:val="000000"/>
                <w:sz w:val="20"/>
              </w:rPr>
            </w:pPr>
          </w:p>
          <w:p w14:paraId="12B61409"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trike/>
                <w:color w:val="000000"/>
                <w:sz w:val="20"/>
              </w:rPr>
            </w:pPr>
            <w:r>
              <w:rPr>
                <w:rFonts w:ascii="Arial" w:eastAsia="Arial" w:hAnsi="Arial"/>
                <w:strike/>
                <w:color w:val="000000"/>
                <w:sz w:val="20"/>
              </w:rPr>
              <w:t>Disagree</w:t>
            </w:r>
          </w:p>
          <w:p w14:paraId="6E2B6BCB"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color w:val="000000"/>
                <w:sz w:val="20"/>
              </w:rPr>
            </w:pPr>
          </w:p>
        </w:tc>
      </w:tr>
    </w:tbl>
    <w:p w14:paraId="4B404871"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sz w:val="20"/>
        </w:rPr>
      </w:pPr>
    </w:p>
    <w:p w14:paraId="7C280066"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This document has been designed purely to enable feedback to Exposure Draft 1.  Participation is undertaken on an entirely voluntary basis. The responses will be used to shape the development of INPAG and not for any other purpose.  We ask for your name an</w:t>
      </w:r>
      <w:r>
        <w:t>d contact information to enable us to contact you if we should have any clarifications regarding your responses. Responses will be public, but personal contact information will not be disclosed.  Personal information will only be held for the purposes of d</w:t>
      </w:r>
      <w:r>
        <w:t>eveloping INPAG.  You may withdraw your consent for us to hold any of your personal information at any time by contacting us at</w:t>
      </w:r>
      <w:r>
        <w:rPr>
          <w:color w:val="901D41"/>
        </w:rPr>
        <w:t> </w:t>
      </w:r>
      <w:hyperlink r:id="rId9" w:history="1">
        <w:r>
          <w:rPr>
            <w:color w:val="0563C1"/>
            <w:u w:val="single"/>
          </w:rPr>
          <w:t>ifr4npo@cipfa.org</w:t>
        </w:r>
      </w:hyperlink>
      <w:r>
        <w:rPr>
          <w:rFonts w:ascii="Arial" w:eastAsia="Arial" w:hAnsi="Arial"/>
          <w:b/>
          <w:sz w:val="20"/>
        </w:rPr>
        <w:br w:type="page"/>
      </w:r>
    </w:p>
    <w:p w14:paraId="25A431BB"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sz w:val="20"/>
        </w:rPr>
      </w:pPr>
      <w:r>
        <w:rPr>
          <w:rFonts w:ascii="Arial" w:eastAsia="Arial" w:hAnsi="Arial"/>
          <w:b/>
          <w:sz w:val="20"/>
        </w:rPr>
        <w:lastRenderedPageBreak/>
        <w:t>Specific Matters for Comment</w:t>
      </w: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4388"/>
        <w:gridCol w:w="1642"/>
        <w:gridCol w:w="8282"/>
      </w:tblGrid>
      <w:tr w:rsidR="00C74FDD" w14:paraId="47B0441C" w14:textId="77777777">
        <w:tc>
          <w:tcPr>
            <w:tcW w:w="4388" w:type="dxa"/>
            <w:shd w:val="clear" w:color="auto" w:fill="auto"/>
          </w:tcPr>
          <w:p w14:paraId="2714A355"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Ques</w:t>
            </w:r>
            <w:r>
              <w:rPr>
                <w:rFonts w:ascii="Arial" w:eastAsia="Arial" w:hAnsi="Arial"/>
                <w:b/>
                <w:sz w:val="20"/>
              </w:rPr>
              <w:t>tion 1: General comments</w:t>
            </w:r>
          </w:p>
        </w:tc>
        <w:tc>
          <w:tcPr>
            <w:tcW w:w="9924" w:type="dxa"/>
            <w:gridSpan w:val="2"/>
            <w:shd w:val="clear" w:color="auto" w:fill="auto"/>
          </w:tcPr>
          <w:p w14:paraId="5DCAC9E5"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sz w:val="20"/>
              </w:rPr>
              <w:t xml:space="preserve">The Guidance is split into Sections that mirror the structure of the </w:t>
            </w:r>
            <w:r>
              <w:rPr>
                <w:rFonts w:ascii="Arial" w:eastAsia="Arial" w:hAnsi="Arial"/>
                <w:i/>
                <w:sz w:val="20"/>
              </w:rPr>
              <w:t>IFRS for SMEs</w:t>
            </w:r>
            <w:r>
              <w:rPr>
                <w:rFonts w:ascii="Arial" w:eastAsia="Arial" w:hAnsi="Arial"/>
                <w:sz w:val="20"/>
              </w:rPr>
              <w:t xml:space="preserve"> Accounting Standard. INPAG has 3 volumes; (i) authoritative guidance (G) and application guidance (AG), (ii) a basis for conclusion that explains th</w:t>
            </w:r>
            <w:r>
              <w:rPr>
                <w:rFonts w:ascii="Arial" w:eastAsia="Arial" w:hAnsi="Arial"/>
                <w:sz w:val="20"/>
              </w:rPr>
              <w:t>e reasons for the approach taken (BC) and (iii) non-authoritative implementation guidance (IG).</w:t>
            </w:r>
          </w:p>
        </w:tc>
      </w:tr>
      <w:tr w:rsidR="00C74FDD" w14:paraId="3FE0341F" w14:textId="77777777">
        <w:tblPrEx>
          <w:tblBorders>
            <w:insideH w:val="single" w:sz="4" w:space="0" w:color="000000"/>
          </w:tblBorders>
        </w:tblPrEx>
        <w:trPr>
          <w:trHeight w:val="510"/>
        </w:trPr>
        <w:tc>
          <w:tcPr>
            <w:tcW w:w="4388" w:type="dxa"/>
            <w:shd w:val="clear" w:color="auto" w:fill="auto"/>
          </w:tcPr>
          <w:p w14:paraId="5031D1EB"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1642" w:type="dxa"/>
            <w:shd w:val="clear" w:color="auto" w:fill="auto"/>
            <w:vAlign w:val="center"/>
          </w:tcPr>
          <w:p w14:paraId="224F05DB"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References</w:t>
            </w:r>
          </w:p>
        </w:tc>
        <w:tc>
          <w:tcPr>
            <w:tcW w:w="8282" w:type="dxa"/>
            <w:shd w:val="clear" w:color="auto" w:fill="auto"/>
            <w:vAlign w:val="center"/>
          </w:tcPr>
          <w:p w14:paraId="4CA06219"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Response</w:t>
            </w:r>
          </w:p>
        </w:tc>
      </w:tr>
      <w:tr w:rsidR="00C74FDD" w14:paraId="58684B46" w14:textId="77777777">
        <w:tblPrEx>
          <w:tblBorders>
            <w:insideH w:val="single" w:sz="4" w:space="0" w:color="000000"/>
          </w:tblBorders>
        </w:tblPrEx>
        <w:tc>
          <w:tcPr>
            <w:tcW w:w="4388" w:type="dxa"/>
            <w:shd w:val="clear" w:color="auto" w:fill="auto"/>
          </w:tcPr>
          <w:p w14:paraId="173C5757" w14:textId="77777777" w:rsidR="00C74FDD" w:rsidRDefault="00296353">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Is the structure of INPAG helpful? If not, how could it be improved?</w:t>
            </w:r>
          </w:p>
        </w:tc>
        <w:tc>
          <w:tcPr>
            <w:tcW w:w="1642" w:type="dxa"/>
            <w:shd w:val="clear" w:color="auto" w:fill="auto"/>
          </w:tcPr>
          <w:p w14:paraId="00EF626D"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GP22-GP24</w:t>
            </w:r>
          </w:p>
        </w:tc>
        <w:tc>
          <w:tcPr>
            <w:tcW w:w="8282" w:type="dxa"/>
            <w:shd w:val="clear" w:color="auto" w:fill="auto"/>
          </w:tcPr>
          <w:p w14:paraId="7A9F9D73"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Yes.</w:t>
            </w:r>
          </w:p>
        </w:tc>
      </w:tr>
      <w:tr w:rsidR="00C74FDD" w14:paraId="1210D70B" w14:textId="77777777">
        <w:tblPrEx>
          <w:tblBorders>
            <w:insideH w:val="single" w:sz="4" w:space="0" w:color="000000"/>
          </w:tblBorders>
        </w:tblPrEx>
        <w:tc>
          <w:tcPr>
            <w:tcW w:w="4388" w:type="dxa"/>
            <w:shd w:val="clear" w:color="auto" w:fill="auto"/>
          </w:tcPr>
          <w:p w14:paraId="341CA39B" w14:textId="77777777" w:rsidR="00C74FDD" w:rsidRDefault="00296353">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have any other comments (including regulatory, assurance or cost/benefit) relating to this INPAG Exposure Draft? If so, explain the rationale for any points you wish to make.</w:t>
            </w:r>
          </w:p>
        </w:tc>
        <w:tc>
          <w:tcPr>
            <w:tcW w:w="1642" w:type="dxa"/>
            <w:shd w:val="clear" w:color="auto" w:fill="auto"/>
          </w:tcPr>
          <w:p w14:paraId="49BD4FB8"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p>
        </w:tc>
        <w:tc>
          <w:tcPr>
            <w:tcW w:w="8282" w:type="dxa"/>
            <w:shd w:val="clear" w:color="auto" w:fill="auto"/>
          </w:tcPr>
          <w:p w14:paraId="7EA81A96"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No.</w:t>
            </w:r>
          </w:p>
        </w:tc>
      </w:tr>
    </w:tbl>
    <w:p w14:paraId="2B167FDD"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4349"/>
        <w:gridCol w:w="1790"/>
        <w:gridCol w:w="8173"/>
      </w:tblGrid>
      <w:tr w:rsidR="00C74FDD" w14:paraId="69A5F491" w14:textId="77777777">
        <w:tc>
          <w:tcPr>
            <w:tcW w:w="4349" w:type="dxa"/>
            <w:shd w:val="clear" w:color="auto" w:fill="auto"/>
          </w:tcPr>
          <w:p w14:paraId="193403F9"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 xml:space="preserve">Question 2: Description of NPOs and users of INPAG </w:t>
            </w:r>
          </w:p>
        </w:tc>
        <w:tc>
          <w:tcPr>
            <w:tcW w:w="9963" w:type="dxa"/>
            <w:gridSpan w:val="2"/>
            <w:shd w:val="clear" w:color="auto" w:fill="auto"/>
          </w:tcPr>
          <w:p w14:paraId="7B893441" w14:textId="77777777" w:rsidR="00C74FDD" w:rsidRDefault="0029635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sz w:val="20"/>
              </w:rPr>
            </w:pPr>
            <w:r>
              <w:rPr>
                <w:sz w:val="20"/>
              </w:rPr>
              <w:t>This Section sets out a broad characteristics approach to identifying those entities to whom INPAG might apply. This descriptive approach is used rather than a single definition, given the diversity of NPOs.</w:t>
            </w:r>
          </w:p>
          <w:p w14:paraId="59A6A8C8" w14:textId="77777777" w:rsidR="00C74FDD" w:rsidRDefault="0029635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b/>
              </w:rPr>
            </w:pPr>
            <w:r>
              <w:rPr>
                <w:sz w:val="20"/>
              </w:rPr>
              <w:t xml:space="preserve">Although an entity might be described as an NPO </w:t>
            </w:r>
            <w:r>
              <w:rPr>
                <w:sz w:val="20"/>
              </w:rPr>
              <w:t>for the purposes of INPAG based on these characteristics, INPAG is not intending to apply to very small NPOs, where cash-based financial information might be sufficient, or those NPOs that meet the definition of public accountability in IFRS-based standard</w:t>
            </w:r>
            <w:r>
              <w:rPr>
                <w:sz w:val="20"/>
              </w:rPr>
              <w:t>s.</w:t>
            </w:r>
          </w:p>
        </w:tc>
      </w:tr>
      <w:tr w:rsidR="00C74FDD" w14:paraId="15A98DCB" w14:textId="77777777">
        <w:tblPrEx>
          <w:tblBorders>
            <w:insideH w:val="single" w:sz="4" w:space="0" w:color="000000"/>
          </w:tblBorders>
        </w:tblPrEx>
        <w:trPr>
          <w:trHeight w:val="283"/>
        </w:trPr>
        <w:tc>
          <w:tcPr>
            <w:tcW w:w="4349" w:type="dxa"/>
            <w:shd w:val="clear" w:color="auto" w:fill="auto"/>
            <w:vAlign w:val="center"/>
          </w:tcPr>
          <w:p w14:paraId="1EA45ECE"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1790" w:type="dxa"/>
            <w:shd w:val="clear" w:color="auto" w:fill="auto"/>
            <w:vAlign w:val="center"/>
          </w:tcPr>
          <w:p w14:paraId="22D5CF8B"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References</w:t>
            </w:r>
          </w:p>
        </w:tc>
        <w:tc>
          <w:tcPr>
            <w:tcW w:w="8173" w:type="dxa"/>
            <w:shd w:val="clear" w:color="auto" w:fill="auto"/>
            <w:vAlign w:val="center"/>
          </w:tcPr>
          <w:p w14:paraId="7F87BEA4"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tLeast"/>
              <w:rPr>
                <w:rFonts w:ascii="Arial" w:eastAsia="Arial" w:hAnsi="Arial"/>
                <w:b/>
                <w:sz w:val="20"/>
              </w:rPr>
            </w:pPr>
            <w:r>
              <w:rPr>
                <w:rFonts w:ascii="Arial" w:eastAsia="Arial" w:hAnsi="Arial"/>
                <w:b/>
                <w:sz w:val="20"/>
              </w:rPr>
              <w:t>Response</w:t>
            </w:r>
          </w:p>
        </w:tc>
      </w:tr>
      <w:tr w:rsidR="00C74FDD" w14:paraId="36ABB6F9" w14:textId="77777777">
        <w:tblPrEx>
          <w:tblBorders>
            <w:insideH w:val="single" w:sz="4" w:space="0" w:color="000000"/>
          </w:tblBorders>
        </w:tblPrEx>
        <w:trPr>
          <w:trHeight w:val="283"/>
        </w:trPr>
        <w:tc>
          <w:tcPr>
            <w:tcW w:w="4349" w:type="dxa"/>
            <w:shd w:val="clear" w:color="auto" w:fill="auto"/>
            <w:vAlign w:val="center"/>
          </w:tcPr>
          <w:p w14:paraId="24B17419" w14:textId="77777777" w:rsidR="00C74FDD" w:rsidRDefault="0029635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 xml:space="preserve">Do you agree with the description of the broad characteristics of NPOs? Does the term ‘providing a benefit to the public’ include all entities that might be NPOs? If not, what would you propose and why? </w:t>
            </w:r>
          </w:p>
          <w:p w14:paraId="46BFA445"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1790" w:type="dxa"/>
            <w:shd w:val="clear" w:color="auto" w:fill="auto"/>
          </w:tcPr>
          <w:p w14:paraId="410DC5F4"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sz w:val="20"/>
              </w:rPr>
              <w:t>G1.2-G1.5</w:t>
            </w:r>
          </w:p>
        </w:tc>
        <w:tc>
          <w:tcPr>
            <w:tcW w:w="8173" w:type="dxa"/>
            <w:shd w:val="clear" w:color="auto" w:fill="auto"/>
            <w:vAlign w:val="center"/>
          </w:tcPr>
          <w:p w14:paraId="48700824"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tLeast"/>
              <w:rPr>
                <w:rFonts w:ascii="Arial" w:eastAsia="Arial" w:hAnsi="Arial"/>
                <w:b/>
                <w:sz w:val="20"/>
              </w:rPr>
            </w:pPr>
            <w:r>
              <w:rPr>
                <w:rFonts w:ascii="Arial" w:eastAsia="Arial" w:hAnsi="Arial"/>
                <w:b/>
                <w:sz w:val="20"/>
              </w:rPr>
              <w:t>Would the focus on ‘providing a benefit to the public’ discourage the use of INPAG by other NPOs, such as clubs and associations that provide a benefit to their members, rather than the public? While members have the right to request information in whateve</w:t>
            </w:r>
            <w:r>
              <w:rPr>
                <w:rFonts w:ascii="Arial" w:eastAsia="Arial" w:hAnsi="Arial"/>
                <w:b/>
                <w:sz w:val="20"/>
              </w:rPr>
              <w:t>r format they wish, one might argue that they should be free to use INPAG even if it is not designed primarily with them in mind.</w:t>
            </w:r>
          </w:p>
          <w:p w14:paraId="0CF53981"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tLeast"/>
              <w:rPr>
                <w:rFonts w:ascii="Arial" w:eastAsia="Arial" w:hAnsi="Arial"/>
                <w:b/>
                <w:sz w:val="20"/>
              </w:rPr>
            </w:pPr>
          </w:p>
        </w:tc>
      </w:tr>
      <w:tr w:rsidR="00C74FDD" w14:paraId="138FB655" w14:textId="77777777">
        <w:tblPrEx>
          <w:tblBorders>
            <w:insideH w:val="single" w:sz="4" w:space="0" w:color="000000"/>
          </w:tblBorders>
        </w:tblPrEx>
        <w:tc>
          <w:tcPr>
            <w:tcW w:w="4349" w:type="dxa"/>
            <w:shd w:val="clear" w:color="auto" w:fill="auto"/>
          </w:tcPr>
          <w:p w14:paraId="74972F44" w14:textId="77777777" w:rsidR="00C74FDD" w:rsidRDefault="00296353">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Does Section 1, together with the Preface, provide clear guidance on which NPOs are intended to benefit from the use of INPAG? If not, what would be more useful?</w:t>
            </w:r>
          </w:p>
        </w:tc>
        <w:tc>
          <w:tcPr>
            <w:tcW w:w="1790" w:type="dxa"/>
            <w:shd w:val="clear" w:color="auto" w:fill="auto"/>
          </w:tcPr>
          <w:p w14:paraId="66FD4879"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173" w:type="dxa"/>
            <w:shd w:val="clear" w:color="auto" w:fill="auto"/>
          </w:tcPr>
          <w:p w14:paraId="1DD24511"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Generally, yes; however, the term ‘public accountability’ is problematic. Although it is defi</w:t>
            </w:r>
            <w:r>
              <w:rPr>
                <w:rFonts w:ascii="Arial" w:eastAsia="Arial" w:hAnsi="Arial"/>
                <w:b/>
                <w:sz w:val="20"/>
              </w:rPr>
              <w:t>ned in IFRS, we think that there are many jurisdictions, including Canada, in which most people would think that all or most NFPOs are publicly accountable. Suggesting that publicly accountable organizations should use IFRS may push some jurisdictions/NPOs</w:t>
            </w:r>
            <w:r>
              <w:rPr>
                <w:rFonts w:ascii="Arial" w:eastAsia="Arial" w:hAnsi="Arial"/>
                <w:b/>
                <w:sz w:val="20"/>
              </w:rPr>
              <w:t xml:space="preserve"> to IFRS where it is not required, or particularly </w:t>
            </w:r>
            <w:r>
              <w:rPr>
                <w:rFonts w:ascii="Arial" w:eastAsia="Arial" w:hAnsi="Arial"/>
                <w:b/>
                <w:sz w:val="20"/>
              </w:rPr>
              <w:lastRenderedPageBreak/>
              <w:t>appropriate</w:t>
            </w:r>
          </w:p>
          <w:p w14:paraId="26B0615D"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p w14:paraId="5793EB80"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In Canada, we use the term ‘enterprise’ to differentiate between business organizations that exist primarily for profit and NPOs. Only publicly accountable enterprises use IFRS.</w:t>
            </w:r>
          </w:p>
          <w:p w14:paraId="60BE689C"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p w14:paraId="03C02415"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We would sugg</w:t>
            </w:r>
            <w:r>
              <w:rPr>
                <w:rFonts w:ascii="Arial" w:eastAsia="Arial" w:hAnsi="Arial"/>
                <w:b/>
                <w:sz w:val="20"/>
              </w:rPr>
              <w:t>est that there should be no confusion in the definitions that could possibly lead a NPO to conclude that they must follow IFRS, rather than INPAG when it does not meet the definition of public accountability in IFRS.</w:t>
            </w:r>
          </w:p>
          <w:p w14:paraId="7D34F352"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p w14:paraId="73678BBE"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Having said that, we fully support the</w:t>
            </w:r>
            <w:r>
              <w:rPr>
                <w:rFonts w:ascii="Arial" w:eastAsia="Arial" w:hAnsi="Arial"/>
                <w:b/>
                <w:sz w:val="20"/>
              </w:rPr>
              <w:t xml:space="preserve"> idea that there are some large, complex charities that conduct broad-based fundraising appeals and benefit from significant government funding who should have higher disclosure requirements that may be more akin to those set out in IFRS.</w:t>
            </w:r>
          </w:p>
          <w:p w14:paraId="6668FB12"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p w14:paraId="6474D5E7"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In our own organ</w:t>
            </w:r>
            <w:r>
              <w:rPr>
                <w:rFonts w:ascii="Arial" w:eastAsia="Arial" w:hAnsi="Arial"/>
                <w:b/>
                <w:sz w:val="20"/>
              </w:rPr>
              <w:t>ization, while we follow Parts II and III of the Canadian accounting standards, namely, those for private enterprises, supplemented by those that are for the unique transactions and circumstances of private NPOs (as opposed to public NPOs that are required</w:t>
            </w:r>
            <w:r>
              <w:rPr>
                <w:rFonts w:ascii="Arial" w:eastAsia="Arial" w:hAnsi="Arial"/>
                <w:b/>
                <w:sz w:val="20"/>
              </w:rPr>
              <w:t xml:space="preserve"> to follow government standards), we have taken the position that as a large organization with public accountability, we should follow the disclosure standards set out in IFRSs whenever appropriate.</w:t>
            </w:r>
          </w:p>
          <w:p w14:paraId="713EDC20"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40" w:lineRule="atLeast"/>
              <w:rPr>
                <w:rFonts w:ascii="Arial" w:eastAsia="Arial" w:hAnsi="Arial"/>
                <w:b/>
                <w:sz w:val="20"/>
              </w:rPr>
            </w:pPr>
          </w:p>
        </w:tc>
      </w:tr>
    </w:tbl>
    <w:p w14:paraId="0B52945A"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4388"/>
        <w:gridCol w:w="1642"/>
        <w:gridCol w:w="8282"/>
      </w:tblGrid>
      <w:tr w:rsidR="00C74FDD" w14:paraId="4D9C3BB1" w14:textId="77777777">
        <w:tc>
          <w:tcPr>
            <w:tcW w:w="4388" w:type="dxa"/>
            <w:shd w:val="clear" w:color="auto" w:fill="auto"/>
          </w:tcPr>
          <w:p w14:paraId="7A120062"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sz w:val="20"/>
              </w:rPr>
              <w:br w:type="page"/>
            </w:r>
            <w:r>
              <w:rPr>
                <w:rFonts w:ascii="Arial" w:eastAsia="Arial" w:hAnsi="Arial"/>
                <w:b/>
                <w:sz w:val="20"/>
              </w:rPr>
              <w:t>Question 3: Concepts and pervasive principles</w:t>
            </w:r>
          </w:p>
          <w:p w14:paraId="1FA59894"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9924" w:type="dxa"/>
            <w:gridSpan w:val="2"/>
            <w:shd w:val="clear" w:color="auto" w:fill="auto"/>
          </w:tcPr>
          <w:p w14:paraId="2EDB2BAD" w14:textId="77777777" w:rsidR="00C74FDD" w:rsidRDefault="0029635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1" w:line="254" w:lineRule="auto"/>
              <w:ind w:left="0" w:right="146"/>
              <w:rPr>
                <w:sz w:val="20"/>
              </w:rPr>
            </w:pPr>
            <w:r>
              <w:rPr>
                <w:sz w:val="20"/>
              </w:rPr>
              <w:t>This Section sets out the concepts and principles that underpin the accounting requirements for NPO transactions and events. It describes a reporting entity for the purposes of INPAG and provides additional gu</w:t>
            </w:r>
            <w:r>
              <w:rPr>
                <w:sz w:val="20"/>
              </w:rPr>
              <w:t>idance about the sometimes complex structures used by NPOs to achieve their objectives.  It identifies the primary users of financial statements and reports, their information needs and the characteristics of useful information. It also describes the eleme</w:t>
            </w:r>
            <w:r>
              <w:rPr>
                <w:sz w:val="20"/>
              </w:rPr>
              <w:t>nts of financial statements and how net assets are derived. It introduces the categorisation of accumulated funds into funds with restrictions and funds without restrictions.</w:t>
            </w:r>
          </w:p>
          <w:p w14:paraId="29275162" w14:textId="77777777" w:rsidR="00C74FDD" w:rsidRDefault="00C74FDD">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 w:line="250" w:lineRule="auto"/>
              <w:ind w:left="0" w:right="291"/>
              <w:rPr>
                <w:sz w:val="20"/>
              </w:rPr>
            </w:pPr>
          </w:p>
          <w:p w14:paraId="6469E5A8"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sz w:val="20"/>
              </w:rPr>
              <w:t>This Section is most likely to be read by standard setters, auditors, technical accounting advisors and financial accountants.</w:t>
            </w:r>
          </w:p>
        </w:tc>
      </w:tr>
      <w:tr w:rsidR="00C74FDD" w14:paraId="7CC38C92" w14:textId="77777777">
        <w:tblPrEx>
          <w:tblBorders>
            <w:insideH w:val="single" w:sz="4" w:space="0" w:color="000000"/>
          </w:tblBorders>
        </w:tblPrEx>
        <w:trPr>
          <w:trHeight w:val="397"/>
        </w:trPr>
        <w:tc>
          <w:tcPr>
            <w:tcW w:w="4388" w:type="dxa"/>
            <w:shd w:val="clear" w:color="auto" w:fill="auto"/>
          </w:tcPr>
          <w:p w14:paraId="7DAAD116"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p>
        </w:tc>
        <w:tc>
          <w:tcPr>
            <w:tcW w:w="1642" w:type="dxa"/>
            <w:shd w:val="clear" w:color="auto" w:fill="auto"/>
            <w:vAlign w:val="center"/>
          </w:tcPr>
          <w:p w14:paraId="1D242664"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References</w:t>
            </w:r>
          </w:p>
        </w:tc>
        <w:tc>
          <w:tcPr>
            <w:tcW w:w="8282" w:type="dxa"/>
            <w:shd w:val="clear" w:color="auto" w:fill="auto"/>
            <w:vAlign w:val="center"/>
          </w:tcPr>
          <w:p w14:paraId="0EE1854D"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Response</w:t>
            </w:r>
          </w:p>
        </w:tc>
      </w:tr>
      <w:tr w:rsidR="00C74FDD" w14:paraId="57952F13" w14:textId="77777777">
        <w:tblPrEx>
          <w:tblBorders>
            <w:insideH w:val="single" w:sz="4" w:space="0" w:color="000000"/>
          </w:tblBorders>
        </w:tblPrEx>
        <w:trPr>
          <w:trHeight w:val="397"/>
        </w:trPr>
        <w:tc>
          <w:tcPr>
            <w:tcW w:w="4388" w:type="dxa"/>
            <w:shd w:val="clear" w:color="auto" w:fill="auto"/>
          </w:tcPr>
          <w:p w14:paraId="74F4C6AE" w14:textId="77777777" w:rsidR="00C74FDD" w:rsidRDefault="0029635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with the range of primary users and the description of their needs? If not, what would you propose and why?</w:t>
            </w:r>
          </w:p>
        </w:tc>
        <w:tc>
          <w:tcPr>
            <w:tcW w:w="1642" w:type="dxa"/>
            <w:shd w:val="clear" w:color="auto" w:fill="auto"/>
            <w:vAlign w:val="center"/>
          </w:tcPr>
          <w:p w14:paraId="6D76F4F9"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G2.3-G2.12</w:t>
            </w:r>
          </w:p>
          <w:p w14:paraId="07A0E6BA"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282" w:type="dxa"/>
            <w:shd w:val="clear" w:color="auto" w:fill="auto"/>
            <w:vAlign w:val="center"/>
          </w:tcPr>
          <w:p w14:paraId="42C02132"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p w14:paraId="5FC65AC5"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r>
      <w:tr w:rsidR="00C74FDD" w14:paraId="2604F13D" w14:textId="77777777">
        <w:tblPrEx>
          <w:tblBorders>
            <w:insideH w:val="single" w:sz="4" w:space="0" w:color="000000"/>
          </w:tblBorders>
        </w:tblPrEx>
        <w:trPr>
          <w:trHeight w:val="397"/>
        </w:trPr>
        <w:tc>
          <w:tcPr>
            <w:tcW w:w="4388" w:type="dxa"/>
            <w:shd w:val="clear" w:color="auto" w:fill="auto"/>
          </w:tcPr>
          <w:p w14:paraId="113BE13E" w14:textId="77777777" w:rsidR="00C74FDD" w:rsidRDefault="0029635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 xml:space="preserve">Do you agree with the qualitative characteristics of useful information? If not, what would you change and why? </w:t>
            </w:r>
          </w:p>
        </w:tc>
        <w:tc>
          <w:tcPr>
            <w:tcW w:w="1642" w:type="dxa"/>
            <w:shd w:val="clear" w:color="auto" w:fill="auto"/>
            <w:vAlign w:val="center"/>
          </w:tcPr>
          <w:p w14:paraId="413CCC3C"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G2.13-G2.32, AG2.1-AG2.3</w:t>
            </w:r>
          </w:p>
          <w:p w14:paraId="5473E2ED"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282" w:type="dxa"/>
            <w:shd w:val="clear" w:color="auto" w:fill="auto"/>
            <w:vAlign w:val="center"/>
          </w:tcPr>
          <w:p w14:paraId="7CD582B9"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684E8120" w14:textId="77777777">
        <w:tblPrEx>
          <w:tblBorders>
            <w:insideH w:val="single" w:sz="4" w:space="0" w:color="000000"/>
          </w:tblBorders>
        </w:tblPrEx>
        <w:trPr>
          <w:trHeight w:val="397"/>
        </w:trPr>
        <w:tc>
          <w:tcPr>
            <w:tcW w:w="4388" w:type="dxa"/>
            <w:shd w:val="clear" w:color="auto" w:fill="auto"/>
          </w:tcPr>
          <w:p w14:paraId="26A778B8" w14:textId="77777777" w:rsidR="00C74FDD" w:rsidRDefault="0029635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 xml:space="preserve">Do you agree with the components of net assets? If not, why not? </w:t>
            </w:r>
          </w:p>
        </w:tc>
        <w:tc>
          <w:tcPr>
            <w:tcW w:w="1642" w:type="dxa"/>
            <w:shd w:val="clear" w:color="auto" w:fill="auto"/>
            <w:vAlign w:val="center"/>
          </w:tcPr>
          <w:p w14:paraId="01CEF03B"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G2.73, Diagram 2.2</w:t>
            </w:r>
          </w:p>
        </w:tc>
        <w:tc>
          <w:tcPr>
            <w:tcW w:w="8282" w:type="dxa"/>
            <w:shd w:val="clear" w:color="auto" w:fill="auto"/>
            <w:vAlign w:val="center"/>
          </w:tcPr>
          <w:p w14:paraId="7AE2C28C"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2EA94668" w14:textId="77777777">
        <w:tblPrEx>
          <w:tblBorders>
            <w:insideH w:val="single" w:sz="4" w:space="0" w:color="000000"/>
          </w:tblBorders>
        </w:tblPrEx>
        <w:trPr>
          <w:trHeight w:val="397"/>
        </w:trPr>
        <w:tc>
          <w:tcPr>
            <w:tcW w:w="4388" w:type="dxa"/>
            <w:shd w:val="clear" w:color="auto" w:fill="auto"/>
          </w:tcPr>
          <w:p w14:paraId="26BC9ABE" w14:textId="77777777" w:rsidR="00C74FDD" w:rsidRDefault="0029635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 xml:space="preserve">Do you agree with the inclusion of equity as an element? If not, what would you propose and why? What type of equity might an NPO have? </w:t>
            </w:r>
          </w:p>
        </w:tc>
        <w:tc>
          <w:tcPr>
            <w:tcW w:w="1642" w:type="dxa"/>
            <w:shd w:val="clear" w:color="auto" w:fill="auto"/>
            <w:vAlign w:val="center"/>
          </w:tcPr>
          <w:p w14:paraId="2C893701"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G2.141, AG2.6-AG2.9</w:t>
            </w:r>
          </w:p>
          <w:p w14:paraId="270FDBE2"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282" w:type="dxa"/>
            <w:shd w:val="clear" w:color="auto" w:fill="auto"/>
            <w:vAlign w:val="center"/>
          </w:tcPr>
          <w:p w14:paraId="2673419F"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 although in Canada, this is unlikely to be relevant to most NPOs.</w:t>
            </w:r>
          </w:p>
        </w:tc>
      </w:tr>
      <w:tr w:rsidR="00C74FDD" w14:paraId="5B2C8946" w14:textId="77777777">
        <w:tblPrEx>
          <w:tblBorders>
            <w:insideH w:val="single" w:sz="4" w:space="0" w:color="000000"/>
          </w:tblBorders>
        </w:tblPrEx>
        <w:trPr>
          <w:trHeight w:val="397"/>
        </w:trPr>
        <w:tc>
          <w:tcPr>
            <w:tcW w:w="4388" w:type="dxa"/>
            <w:shd w:val="clear" w:color="auto" w:fill="auto"/>
          </w:tcPr>
          <w:p w14:paraId="2EFECEDC" w14:textId="77777777" w:rsidR="00C74FDD" w:rsidRDefault="0029635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 xml:space="preserve">Do you agree with the categorisation of funds between those with restrictions and those without restrictions in presenting accumulated surpluses and deficits? If not, what would you propose and why? </w:t>
            </w:r>
          </w:p>
        </w:tc>
        <w:tc>
          <w:tcPr>
            <w:tcW w:w="1642" w:type="dxa"/>
            <w:shd w:val="clear" w:color="auto" w:fill="auto"/>
            <w:vAlign w:val="center"/>
          </w:tcPr>
          <w:p w14:paraId="0052A7EA"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G2.74-G2.75, AG2.4-AG2.5</w:t>
            </w:r>
          </w:p>
          <w:p w14:paraId="7E007540"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282" w:type="dxa"/>
            <w:shd w:val="clear" w:color="auto" w:fill="auto"/>
            <w:vAlign w:val="center"/>
          </w:tcPr>
          <w:p w14:paraId="729F0FC2"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1BD0E1F9" w14:textId="77777777">
        <w:tblPrEx>
          <w:tblBorders>
            <w:insideH w:val="single" w:sz="4" w:space="0" w:color="000000"/>
          </w:tblBorders>
        </w:tblPrEx>
        <w:trPr>
          <w:trHeight w:val="397"/>
        </w:trPr>
        <w:tc>
          <w:tcPr>
            <w:tcW w:w="4388" w:type="dxa"/>
            <w:shd w:val="clear" w:color="auto" w:fill="auto"/>
          </w:tcPr>
          <w:p w14:paraId="569B2FC0" w14:textId="77777777" w:rsidR="00C74FDD" w:rsidRDefault="0029635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 xml:space="preserve">Do you agree that funds set aside from accumulated surpluses for the holders of equity claims can be part of funds with restrictions and funds without restrictions and that they should be transferred to equity prior to distribution? If not, what would you </w:t>
            </w:r>
            <w:r>
              <w:rPr>
                <w:rFonts w:ascii="Arial" w:eastAsia="Arial" w:hAnsi="Arial"/>
                <w:sz w:val="20"/>
              </w:rPr>
              <w:t>propose and why?</w:t>
            </w:r>
          </w:p>
        </w:tc>
        <w:tc>
          <w:tcPr>
            <w:tcW w:w="1642" w:type="dxa"/>
            <w:shd w:val="clear" w:color="auto" w:fill="auto"/>
            <w:vAlign w:val="center"/>
          </w:tcPr>
          <w:p w14:paraId="1A83B31E"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G2.142, AG2.8-AG2.9</w:t>
            </w:r>
          </w:p>
          <w:p w14:paraId="497B3B9F"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282" w:type="dxa"/>
            <w:shd w:val="clear" w:color="auto" w:fill="auto"/>
            <w:vAlign w:val="center"/>
          </w:tcPr>
          <w:p w14:paraId="17AB25AB"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4396C5F9" w14:textId="77777777">
        <w:tblPrEx>
          <w:tblBorders>
            <w:insideH w:val="single" w:sz="4" w:space="0" w:color="000000"/>
          </w:tblBorders>
        </w:tblPrEx>
        <w:trPr>
          <w:trHeight w:val="397"/>
        </w:trPr>
        <w:tc>
          <w:tcPr>
            <w:tcW w:w="4388" w:type="dxa"/>
            <w:shd w:val="clear" w:color="auto" w:fill="auto"/>
          </w:tcPr>
          <w:p w14:paraId="3779C08F" w14:textId="77777777" w:rsidR="00C74FDD" w:rsidRDefault="0029635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that ‘service potential’ should be introduced into Section 2? If not, why not?</w:t>
            </w:r>
          </w:p>
          <w:p w14:paraId="54DD0324"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p>
        </w:tc>
        <w:tc>
          <w:tcPr>
            <w:tcW w:w="1642" w:type="dxa"/>
            <w:shd w:val="clear" w:color="auto" w:fill="auto"/>
            <w:vAlign w:val="center"/>
          </w:tcPr>
          <w:p w14:paraId="3DCE6A13"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G2.51, G2.54, G2.58, G2.67-G2.68, G2.103, G2.108-G2.110, G2.115-G2.117, G2.122</w:t>
            </w:r>
          </w:p>
        </w:tc>
        <w:tc>
          <w:tcPr>
            <w:tcW w:w="8282" w:type="dxa"/>
            <w:shd w:val="clear" w:color="auto" w:fill="auto"/>
            <w:vAlign w:val="center"/>
          </w:tcPr>
          <w:p w14:paraId="32C82741"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10597300" w14:textId="77777777">
        <w:tblPrEx>
          <w:tblBorders>
            <w:insideH w:val="single" w:sz="4" w:space="0" w:color="000000"/>
          </w:tblBorders>
        </w:tblPrEx>
        <w:trPr>
          <w:trHeight w:val="397"/>
        </w:trPr>
        <w:tc>
          <w:tcPr>
            <w:tcW w:w="4388" w:type="dxa"/>
            <w:shd w:val="clear" w:color="auto" w:fill="auto"/>
          </w:tcPr>
          <w:p w14:paraId="0A35C7BD" w14:textId="77777777" w:rsidR="00C74FDD" w:rsidRDefault="0029635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 xml:space="preserve">Do you agree that the provisions for ‘undue cost and effort’ used in the </w:t>
            </w:r>
            <w:r>
              <w:rPr>
                <w:rFonts w:ascii="Arial" w:eastAsia="Arial" w:hAnsi="Arial"/>
                <w:i/>
                <w:sz w:val="20"/>
              </w:rPr>
              <w:t xml:space="preserve">IFRS for SMEs </w:t>
            </w:r>
            <w:r>
              <w:rPr>
                <w:rFonts w:ascii="Arial" w:eastAsia="Arial" w:hAnsi="Arial"/>
                <w:sz w:val="20"/>
              </w:rPr>
              <w:t xml:space="preserve">Accounting Standard should be retained? If not, why not? </w:t>
            </w:r>
          </w:p>
        </w:tc>
        <w:tc>
          <w:tcPr>
            <w:tcW w:w="1642" w:type="dxa"/>
            <w:shd w:val="clear" w:color="auto" w:fill="auto"/>
            <w:vAlign w:val="center"/>
          </w:tcPr>
          <w:p w14:paraId="4C3C4ED0"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G2.33-G2.36</w:t>
            </w:r>
          </w:p>
          <w:p w14:paraId="40A86165"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282" w:type="dxa"/>
            <w:shd w:val="clear" w:color="auto" w:fill="auto"/>
            <w:vAlign w:val="center"/>
          </w:tcPr>
          <w:p w14:paraId="16AD45BF"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435A8B2B" w14:textId="77777777">
        <w:tblPrEx>
          <w:tblBorders>
            <w:insideH w:val="single" w:sz="4" w:space="0" w:color="000000"/>
          </w:tblBorders>
        </w:tblPrEx>
        <w:tc>
          <w:tcPr>
            <w:tcW w:w="4388" w:type="dxa"/>
            <w:shd w:val="clear" w:color="auto" w:fill="auto"/>
          </w:tcPr>
          <w:p w14:paraId="529D8CD5" w14:textId="77777777" w:rsidR="00C74FDD" w:rsidRDefault="00296353">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Is the NPO as a reporting entity clear? Does the process for identifying branches in the Application Guidance support the principles? If not, what would be more useful?</w:t>
            </w:r>
          </w:p>
        </w:tc>
        <w:tc>
          <w:tcPr>
            <w:tcW w:w="1642" w:type="dxa"/>
            <w:shd w:val="clear" w:color="auto" w:fill="auto"/>
          </w:tcPr>
          <w:p w14:paraId="0130AC50"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G2.43-G2.49, AG2.10-AG2.24.</w:t>
            </w:r>
          </w:p>
          <w:p w14:paraId="434F1FE0"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8282" w:type="dxa"/>
            <w:shd w:val="clear" w:color="auto" w:fill="auto"/>
          </w:tcPr>
          <w:p w14:paraId="4D86B1A9"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Yes.</w:t>
            </w:r>
          </w:p>
        </w:tc>
      </w:tr>
    </w:tbl>
    <w:p w14:paraId="0399C43F"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4388"/>
        <w:gridCol w:w="9924"/>
      </w:tblGrid>
      <w:tr w:rsidR="00C74FDD" w14:paraId="64F23F68" w14:textId="77777777">
        <w:tc>
          <w:tcPr>
            <w:tcW w:w="4388" w:type="dxa"/>
            <w:shd w:val="clear" w:color="auto" w:fill="auto"/>
          </w:tcPr>
          <w:p w14:paraId="3D0A4D46"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 xml:space="preserve">Question 4: Principles to enable comparability of financial statements </w:t>
            </w:r>
          </w:p>
          <w:p w14:paraId="4F434C99"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9924" w:type="dxa"/>
            <w:shd w:val="clear" w:color="auto" w:fill="auto"/>
          </w:tcPr>
          <w:p w14:paraId="63DE5F13" w14:textId="77777777" w:rsidR="00C74FDD" w:rsidRDefault="0029635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1" w:line="254" w:lineRule="auto"/>
              <w:ind w:left="0"/>
              <w:rPr>
                <w:b/>
                <w:sz w:val="20"/>
              </w:rPr>
            </w:pPr>
            <w:r>
              <w:rPr>
                <w:sz w:val="20"/>
              </w:rPr>
              <w:t>This Section provides the principles behind the development of financial statements, including consideration of whether an entity is a going concern. It looks at the ability to compar</w:t>
            </w:r>
            <w:r>
              <w:rPr>
                <w:sz w:val="20"/>
              </w:rPr>
              <w:t xml:space="preserve">e financial statements and sets out the principles of comparability and consistency. Comparatives are identified as being necessary for financial statements and narrative reports. This Section also looks at the ability to express compliance with INPAG. It </w:t>
            </w:r>
            <w:r>
              <w:rPr>
                <w:sz w:val="20"/>
              </w:rPr>
              <w:t>also considers NPO-specific terminology.</w:t>
            </w:r>
          </w:p>
        </w:tc>
      </w:tr>
    </w:tbl>
    <w:p w14:paraId="3C775B03"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8"/>
        <w:gridCol w:w="1642"/>
        <w:gridCol w:w="8282"/>
      </w:tblGrid>
      <w:tr w:rsidR="00C74FDD" w14:paraId="71BAF4D5" w14:textId="77777777">
        <w:tc>
          <w:tcPr>
            <w:tcW w:w="4388" w:type="dxa"/>
            <w:shd w:val="clear" w:color="auto" w:fill="auto"/>
          </w:tcPr>
          <w:p w14:paraId="49EB60F3"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1642" w:type="dxa"/>
            <w:shd w:val="clear" w:color="auto" w:fill="auto"/>
          </w:tcPr>
          <w:p w14:paraId="65F32277"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References</w:t>
            </w:r>
          </w:p>
        </w:tc>
        <w:tc>
          <w:tcPr>
            <w:tcW w:w="8282" w:type="dxa"/>
            <w:shd w:val="clear" w:color="auto" w:fill="auto"/>
          </w:tcPr>
          <w:p w14:paraId="3B7E276B"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Response</w:t>
            </w:r>
          </w:p>
        </w:tc>
      </w:tr>
      <w:tr w:rsidR="00C74FDD" w14:paraId="2F47385A" w14:textId="77777777">
        <w:tc>
          <w:tcPr>
            <w:tcW w:w="4388" w:type="dxa"/>
            <w:shd w:val="clear" w:color="auto" w:fill="auto"/>
          </w:tcPr>
          <w:p w14:paraId="2C4F7BBA" w14:textId="77777777" w:rsidR="00C74FDD" w:rsidRDefault="00296353">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 xml:space="preserve">Do you agree with the proposed changes to terminology from the </w:t>
            </w:r>
            <w:r>
              <w:rPr>
                <w:rFonts w:ascii="Arial" w:eastAsia="Arial" w:hAnsi="Arial"/>
                <w:i/>
                <w:sz w:val="20"/>
              </w:rPr>
              <w:t xml:space="preserve">IFRS for SMEs </w:t>
            </w:r>
            <w:r>
              <w:rPr>
                <w:rFonts w:ascii="Arial" w:eastAsia="Arial" w:hAnsi="Arial"/>
                <w:sz w:val="20"/>
              </w:rPr>
              <w:t>Accounting Standard? If not, what would you propose and why?</w:t>
            </w:r>
          </w:p>
        </w:tc>
        <w:tc>
          <w:tcPr>
            <w:tcW w:w="1642" w:type="dxa"/>
            <w:shd w:val="clear" w:color="auto" w:fill="auto"/>
          </w:tcPr>
          <w:p w14:paraId="004A5B3A"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r>
              <w:rPr>
                <w:rFonts w:ascii="Arial" w:eastAsia="Arial" w:hAnsi="Arial"/>
                <w:sz w:val="20"/>
              </w:rPr>
              <w:t>Sections 3-10</w:t>
            </w:r>
          </w:p>
          <w:p w14:paraId="3F9A6C94"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282" w:type="dxa"/>
            <w:shd w:val="clear" w:color="auto" w:fill="auto"/>
          </w:tcPr>
          <w:p w14:paraId="22443F90"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75443813" w14:textId="77777777">
        <w:tc>
          <w:tcPr>
            <w:tcW w:w="4388" w:type="dxa"/>
            <w:shd w:val="clear" w:color="auto" w:fill="auto"/>
          </w:tcPr>
          <w:p w14:paraId="5A49A1A5" w14:textId="77777777" w:rsidR="00C74FDD" w:rsidRDefault="00296353">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that comparatives should be shown on the face of the primary statements? In particular, do you agree with the proposed comparatives for the Statement of Income a</w:t>
            </w:r>
            <w:r>
              <w:rPr>
                <w:rFonts w:ascii="Arial" w:eastAsia="Arial" w:hAnsi="Arial"/>
                <w:sz w:val="20"/>
              </w:rPr>
              <w:t>nd Expenses? If not, what do you propose and why?</w:t>
            </w:r>
          </w:p>
        </w:tc>
        <w:tc>
          <w:tcPr>
            <w:tcW w:w="1642" w:type="dxa"/>
            <w:shd w:val="clear" w:color="auto" w:fill="auto"/>
          </w:tcPr>
          <w:p w14:paraId="55CB25AF"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r>
              <w:rPr>
                <w:rFonts w:ascii="Arial" w:eastAsia="Arial" w:hAnsi="Arial"/>
                <w:sz w:val="20"/>
              </w:rPr>
              <w:t>G3.14, G3.19, AG3.9-AG3.11, BC5.11</w:t>
            </w:r>
          </w:p>
          <w:p w14:paraId="6D71963E"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282" w:type="dxa"/>
            <w:shd w:val="clear" w:color="auto" w:fill="auto"/>
          </w:tcPr>
          <w:p w14:paraId="399DC967"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24688F25" w14:textId="77777777">
        <w:tc>
          <w:tcPr>
            <w:tcW w:w="4388" w:type="dxa"/>
            <w:shd w:val="clear" w:color="auto" w:fill="auto"/>
          </w:tcPr>
          <w:p w14:paraId="552831EE" w14:textId="77777777" w:rsidR="00C74FDD" w:rsidRDefault="00296353">
            <w:pPr>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the proposals for expressing compliance with INPAG create unintended consequences? If so, what are your key concerns?</w:t>
            </w:r>
          </w:p>
        </w:tc>
        <w:tc>
          <w:tcPr>
            <w:tcW w:w="1642" w:type="dxa"/>
            <w:shd w:val="clear" w:color="auto" w:fill="auto"/>
          </w:tcPr>
          <w:p w14:paraId="02104936"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sz w:val="20"/>
              </w:rPr>
              <w:t>G3.3-G3.7, AG3.3-AG3.5</w:t>
            </w:r>
          </w:p>
        </w:tc>
        <w:tc>
          <w:tcPr>
            <w:tcW w:w="8282" w:type="dxa"/>
            <w:shd w:val="clear" w:color="auto" w:fill="auto"/>
          </w:tcPr>
          <w:p w14:paraId="45D5569D"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No.</w:t>
            </w:r>
          </w:p>
        </w:tc>
      </w:tr>
    </w:tbl>
    <w:p w14:paraId="5A483B35"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4388"/>
        <w:gridCol w:w="1642"/>
        <w:gridCol w:w="8282"/>
      </w:tblGrid>
      <w:tr w:rsidR="00C74FDD" w14:paraId="5222EE4F" w14:textId="77777777">
        <w:tc>
          <w:tcPr>
            <w:tcW w:w="4388" w:type="dxa"/>
            <w:shd w:val="clear" w:color="auto" w:fill="auto"/>
          </w:tcPr>
          <w:p w14:paraId="20144602"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 xml:space="preserve">Question 5: Scope and presentation of the Statement of Financial Position </w:t>
            </w:r>
          </w:p>
          <w:p w14:paraId="44CE87D4"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9924" w:type="dxa"/>
            <w:gridSpan w:val="2"/>
            <w:shd w:val="clear" w:color="auto" w:fill="auto"/>
          </w:tcPr>
          <w:p w14:paraId="423DA655" w14:textId="77777777" w:rsidR="00C74FDD" w:rsidRDefault="00296353">
            <w:pPr>
              <w:pStyle w:val="TableParagraph"/>
              <w:tabs>
                <w:tab w:val="left" w:pos="3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1" w:line="264" w:lineRule="auto"/>
              <w:ind w:left="36" w:right="304"/>
              <w:rPr>
                <w:sz w:val="20"/>
              </w:rPr>
            </w:pPr>
            <w:r>
              <w:rPr>
                <w:sz w:val="20"/>
              </w:rPr>
              <w:t>The Statement of Financial Position has proposals that the aggregate of the fund balances for funds with restrictions and funds without restriction and has associated disclosures. This statement mirrors those used in other international standards, includin</w:t>
            </w:r>
            <w:r>
              <w:rPr>
                <w:sz w:val="20"/>
              </w:rPr>
              <w:t>g how assets and liabilities are classified, but has NPO-specific terminology.</w:t>
            </w:r>
          </w:p>
        </w:tc>
      </w:tr>
      <w:tr w:rsidR="00C74FDD" w14:paraId="3C42C026" w14:textId="77777777">
        <w:tblPrEx>
          <w:tblBorders>
            <w:insideH w:val="single" w:sz="4" w:space="0" w:color="000000"/>
          </w:tblBorders>
        </w:tblPrEx>
        <w:tc>
          <w:tcPr>
            <w:tcW w:w="4388" w:type="dxa"/>
            <w:shd w:val="clear" w:color="auto" w:fill="auto"/>
          </w:tcPr>
          <w:p w14:paraId="211D27F7"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1642" w:type="dxa"/>
            <w:shd w:val="clear" w:color="auto" w:fill="auto"/>
          </w:tcPr>
          <w:p w14:paraId="7692EB58"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References</w:t>
            </w:r>
          </w:p>
        </w:tc>
        <w:tc>
          <w:tcPr>
            <w:tcW w:w="8282" w:type="dxa"/>
            <w:shd w:val="clear" w:color="auto" w:fill="auto"/>
          </w:tcPr>
          <w:p w14:paraId="7D5B8D25"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Response</w:t>
            </w:r>
          </w:p>
        </w:tc>
      </w:tr>
      <w:tr w:rsidR="00C74FDD" w14:paraId="4B6456BE" w14:textId="77777777">
        <w:tblPrEx>
          <w:tblBorders>
            <w:insideH w:val="single" w:sz="4" w:space="0" w:color="000000"/>
          </w:tblBorders>
        </w:tblPrEx>
        <w:tc>
          <w:tcPr>
            <w:tcW w:w="4388" w:type="dxa"/>
            <w:shd w:val="clear" w:color="auto" w:fill="auto"/>
          </w:tcPr>
          <w:p w14:paraId="67D24772" w14:textId="77777777" w:rsidR="00C74FDD" w:rsidRDefault="00296353">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that all asset and liability balances should be split between current and non-current amounts (except where a liquidity-based presentation has been adopted)? If not, why not?</w:t>
            </w:r>
          </w:p>
        </w:tc>
        <w:tc>
          <w:tcPr>
            <w:tcW w:w="1642" w:type="dxa"/>
            <w:shd w:val="clear" w:color="auto" w:fill="auto"/>
          </w:tcPr>
          <w:p w14:paraId="090BD1DC"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r>
              <w:rPr>
                <w:rFonts w:ascii="Arial" w:eastAsia="Arial" w:hAnsi="Arial"/>
                <w:sz w:val="20"/>
              </w:rPr>
              <w:t>G4.5-G4.9, AG4.4</w:t>
            </w:r>
          </w:p>
          <w:p w14:paraId="257E988D"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282" w:type="dxa"/>
            <w:shd w:val="clear" w:color="auto" w:fill="auto"/>
          </w:tcPr>
          <w:p w14:paraId="04AF1279"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1C2A4A85" w14:textId="77777777">
        <w:tc>
          <w:tcPr>
            <w:tcW w:w="4388" w:type="dxa"/>
            <w:shd w:val="clear" w:color="auto" w:fill="auto"/>
          </w:tcPr>
          <w:p w14:paraId="636085FF" w14:textId="77777777" w:rsidR="00C74FDD" w:rsidRDefault="00296353">
            <w:pPr>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with the proposal that not all c</w:t>
            </w:r>
            <w:r>
              <w:rPr>
                <w:rFonts w:ascii="Arial" w:eastAsia="Arial" w:hAnsi="Arial"/>
                <w:sz w:val="20"/>
              </w:rPr>
              <w:t>ategories of asset and liability balances should be split between those with and those without restrictions? If not, which categories of asset and/or liability should be split?</w:t>
            </w:r>
          </w:p>
        </w:tc>
        <w:tc>
          <w:tcPr>
            <w:tcW w:w="1642" w:type="dxa"/>
            <w:shd w:val="clear" w:color="auto" w:fill="auto"/>
          </w:tcPr>
          <w:p w14:paraId="090172B7"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sz w:val="20"/>
              </w:rPr>
              <w:t>G4.13-G4.14, AG4.5-AG4.7</w:t>
            </w:r>
          </w:p>
        </w:tc>
        <w:tc>
          <w:tcPr>
            <w:tcW w:w="8282" w:type="dxa"/>
            <w:shd w:val="clear" w:color="auto" w:fill="auto"/>
          </w:tcPr>
          <w:p w14:paraId="179A7940"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bl>
    <w:p w14:paraId="1D79819F"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4368"/>
        <w:gridCol w:w="1711"/>
        <w:gridCol w:w="8233"/>
      </w:tblGrid>
      <w:tr w:rsidR="00C74FDD" w14:paraId="01297C7C" w14:textId="77777777">
        <w:tc>
          <w:tcPr>
            <w:tcW w:w="4368" w:type="dxa"/>
            <w:shd w:val="clear" w:color="auto" w:fill="auto"/>
          </w:tcPr>
          <w:p w14:paraId="596E782B"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 xml:space="preserve">Question 6: Scope and presentation of the Statement of Income and Expenses </w:t>
            </w:r>
          </w:p>
          <w:p w14:paraId="7E04E76E"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9944" w:type="dxa"/>
            <w:gridSpan w:val="2"/>
            <w:shd w:val="clear" w:color="auto" w:fill="auto"/>
          </w:tcPr>
          <w:p w14:paraId="1D2F50B0"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r>
              <w:rPr>
                <w:rFonts w:ascii="Arial" w:eastAsia="Arial" w:hAnsi="Arial"/>
                <w:sz w:val="20"/>
              </w:rPr>
              <w:t xml:space="preserve">This Section is retitled from the equivalent Section in the </w:t>
            </w:r>
            <w:r>
              <w:rPr>
                <w:rFonts w:ascii="Arial" w:eastAsia="Arial" w:hAnsi="Arial"/>
                <w:i/>
                <w:sz w:val="20"/>
              </w:rPr>
              <w:t xml:space="preserve">IFRS for SMEs </w:t>
            </w:r>
            <w:r>
              <w:rPr>
                <w:rFonts w:ascii="Arial" w:eastAsia="Arial" w:hAnsi="Arial"/>
                <w:sz w:val="20"/>
              </w:rPr>
              <w:t>Accounting Standard to be more relevant for NPOs. References to ‘profit and loss’ are replaced with ‘surplus and deficit’. A key element of the presentation of this statement is that revenue and related expenses are split between those that have been recei</w:t>
            </w:r>
            <w:r>
              <w:rPr>
                <w:rFonts w:ascii="Arial" w:eastAsia="Arial" w:hAnsi="Arial"/>
                <w:sz w:val="20"/>
              </w:rPr>
              <w:t>ved with restrictions and those that haven’t.</w:t>
            </w:r>
          </w:p>
          <w:p w14:paraId="3B372ECE"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p>
          <w:p w14:paraId="4F0B5786"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r>
              <w:rPr>
                <w:rFonts w:ascii="Arial" w:eastAsia="Arial" w:hAnsi="Arial"/>
                <w:sz w:val="20"/>
              </w:rPr>
              <w:t>Some income and expenses are proposed to be part of the Statement of Changes in Net Assets (see question 7).</w:t>
            </w:r>
          </w:p>
        </w:tc>
      </w:tr>
      <w:tr w:rsidR="00C74FDD" w14:paraId="3518F139" w14:textId="77777777">
        <w:tblPrEx>
          <w:tblBorders>
            <w:insideH w:val="single" w:sz="4" w:space="0" w:color="000000"/>
          </w:tblBorders>
        </w:tblPrEx>
        <w:tc>
          <w:tcPr>
            <w:tcW w:w="4368" w:type="dxa"/>
            <w:shd w:val="clear" w:color="auto" w:fill="auto"/>
          </w:tcPr>
          <w:p w14:paraId="2F995B7E"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1711" w:type="dxa"/>
            <w:shd w:val="clear" w:color="auto" w:fill="auto"/>
          </w:tcPr>
          <w:p w14:paraId="2957BE54"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References</w:t>
            </w:r>
          </w:p>
        </w:tc>
        <w:tc>
          <w:tcPr>
            <w:tcW w:w="8233" w:type="dxa"/>
            <w:shd w:val="clear" w:color="auto" w:fill="auto"/>
          </w:tcPr>
          <w:p w14:paraId="262D5B6B"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Response</w:t>
            </w:r>
          </w:p>
        </w:tc>
      </w:tr>
      <w:tr w:rsidR="00C74FDD" w14:paraId="0010AFA6" w14:textId="77777777">
        <w:tblPrEx>
          <w:tblBorders>
            <w:insideH w:val="single" w:sz="4" w:space="0" w:color="000000"/>
          </w:tblBorders>
        </w:tblPrEx>
        <w:tc>
          <w:tcPr>
            <w:tcW w:w="4368" w:type="dxa"/>
            <w:shd w:val="clear" w:color="auto" w:fill="auto"/>
          </w:tcPr>
          <w:p w14:paraId="18EAF5A2" w14:textId="77777777" w:rsidR="00C74FDD" w:rsidRDefault="00296353">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with the name of the primary statement being ‘Statement of Income and Expenses’? If not, why not?</w:t>
            </w:r>
          </w:p>
        </w:tc>
        <w:tc>
          <w:tcPr>
            <w:tcW w:w="1711" w:type="dxa"/>
            <w:shd w:val="clear" w:color="auto" w:fill="auto"/>
          </w:tcPr>
          <w:p w14:paraId="08DE027D"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r>
              <w:rPr>
                <w:rFonts w:ascii="Arial" w:eastAsia="Arial" w:hAnsi="Arial"/>
                <w:sz w:val="20"/>
              </w:rPr>
              <w:t>BC5.1-BC5.5</w:t>
            </w:r>
          </w:p>
          <w:p w14:paraId="48121AD6"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233" w:type="dxa"/>
            <w:shd w:val="clear" w:color="auto" w:fill="auto"/>
          </w:tcPr>
          <w:p w14:paraId="799C6662"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 given the flexibility in G3.21 and AG3.16 to use an alternate title.</w:t>
            </w:r>
          </w:p>
        </w:tc>
      </w:tr>
      <w:tr w:rsidR="00C74FDD" w14:paraId="08176630" w14:textId="77777777">
        <w:tblPrEx>
          <w:tblBorders>
            <w:insideH w:val="single" w:sz="4" w:space="0" w:color="000000"/>
          </w:tblBorders>
        </w:tblPrEx>
        <w:tc>
          <w:tcPr>
            <w:tcW w:w="4368" w:type="dxa"/>
            <w:shd w:val="clear" w:color="auto" w:fill="auto"/>
          </w:tcPr>
          <w:p w14:paraId="1B2F121A" w14:textId="77777777" w:rsidR="00C74FDD" w:rsidRDefault="00296353">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that the terms surplus and deficit should be</w:t>
            </w:r>
            <w:r>
              <w:rPr>
                <w:rFonts w:ascii="Arial" w:eastAsia="Arial" w:hAnsi="Arial"/>
                <w:sz w:val="20"/>
              </w:rPr>
              <w:t xml:space="preserve"> used instead of profit or loss? If not, why not?</w:t>
            </w:r>
          </w:p>
        </w:tc>
        <w:tc>
          <w:tcPr>
            <w:tcW w:w="1711" w:type="dxa"/>
            <w:shd w:val="clear" w:color="auto" w:fill="auto"/>
          </w:tcPr>
          <w:p w14:paraId="77D63C05"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r>
              <w:rPr>
                <w:rFonts w:ascii="Arial" w:eastAsia="Arial" w:hAnsi="Arial"/>
                <w:sz w:val="20"/>
              </w:rPr>
              <w:t>G5.5, BC5.6</w:t>
            </w:r>
          </w:p>
          <w:p w14:paraId="70C98BB7"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233" w:type="dxa"/>
            <w:shd w:val="clear" w:color="auto" w:fill="auto"/>
          </w:tcPr>
          <w:p w14:paraId="7F01EE14"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3A0B5B8E" w14:textId="77777777">
        <w:tblPrEx>
          <w:tblBorders>
            <w:insideH w:val="single" w:sz="4" w:space="0" w:color="000000"/>
          </w:tblBorders>
        </w:tblPrEx>
        <w:tc>
          <w:tcPr>
            <w:tcW w:w="4368" w:type="dxa"/>
            <w:shd w:val="clear" w:color="auto" w:fill="auto"/>
          </w:tcPr>
          <w:p w14:paraId="04B7E8BA" w14:textId="77777777" w:rsidR="00C74FDD" w:rsidRDefault="00296353">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that amounts on each line of revenue and expenses should be split between those with and those without restrictions on the face of the primary statement? If not, what alternative approach would you propose and why?</w:t>
            </w:r>
          </w:p>
        </w:tc>
        <w:tc>
          <w:tcPr>
            <w:tcW w:w="1711" w:type="dxa"/>
            <w:shd w:val="clear" w:color="auto" w:fill="auto"/>
          </w:tcPr>
          <w:p w14:paraId="1E67DE45"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r>
              <w:rPr>
                <w:rFonts w:ascii="Arial" w:eastAsia="Arial" w:hAnsi="Arial"/>
                <w:sz w:val="20"/>
              </w:rPr>
              <w:t>G5.3, AG5.4-AG5.6, BC5.9-BC5</w:t>
            </w:r>
            <w:r>
              <w:rPr>
                <w:rFonts w:ascii="Arial" w:eastAsia="Arial" w:hAnsi="Arial"/>
                <w:sz w:val="20"/>
              </w:rPr>
              <w:t>.12</w:t>
            </w:r>
          </w:p>
          <w:p w14:paraId="11C6C779"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233" w:type="dxa"/>
            <w:shd w:val="clear" w:color="auto" w:fill="auto"/>
          </w:tcPr>
          <w:p w14:paraId="11DF2E99"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72AFE515" w14:textId="77777777">
        <w:tblPrEx>
          <w:tblBorders>
            <w:insideH w:val="single" w:sz="4" w:space="0" w:color="000000"/>
          </w:tblBorders>
        </w:tblPrEx>
        <w:tc>
          <w:tcPr>
            <w:tcW w:w="4368" w:type="dxa"/>
            <w:shd w:val="clear" w:color="auto" w:fill="auto"/>
          </w:tcPr>
          <w:p w14:paraId="60C4245C" w14:textId="77777777" w:rsidR="00C74FDD" w:rsidRDefault="00296353">
            <w:pPr>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 xml:space="preserve">Do you agree that NPOs should be able to choose whether to present either income items or expense items first to get to a surplus or deficit? If not, what alternative approach would you propose and why? </w:t>
            </w:r>
          </w:p>
        </w:tc>
        <w:tc>
          <w:tcPr>
            <w:tcW w:w="1711" w:type="dxa"/>
            <w:shd w:val="clear" w:color="auto" w:fill="auto"/>
          </w:tcPr>
          <w:p w14:paraId="5FB3CC17"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sz w:val="20"/>
              </w:rPr>
              <w:t>Implementation guidance</w:t>
            </w:r>
          </w:p>
        </w:tc>
        <w:tc>
          <w:tcPr>
            <w:tcW w:w="8233" w:type="dxa"/>
            <w:shd w:val="clear" w:color="auto" w:fill="auto"/>
          </w:tcPr>
          <w:p w14:paraId="0FA97310"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bl>
    <w:p w14:paraId="60F44047"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0"/>
        </w:rPr>
      </w:pPr>
      <w:r>
        <w:rPr>
          <w:rFonts w:ascii="Arial" w:eastAsia="Arial" w:hAnsi="Arial"/>
          <w:sz w:val="20"/>
        </w:rPr>
        <w:br w:type="page"/>
      </w: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4388"/>
        <w:gridCol w:w="1642"/>
        <w:gridCol w:w="8282"/>
      </w:tblGrid>
      <w:tr w:rsidR="00C74FDD" w14:paraId="0F5A4BEF" w14:textId="77777777">
        <w:tc>
          <w:tcPr>
            <w:tcW w:w="4388" w:type="dxa"/>
            <w:shd w:val="clear" w:color="auto" w:fill="auto"/>
          </w:tcPr>
          <w:p w14:paraId="1552C221"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 xml:space="preserve">Question 7: Scope and presentation of the Statement of Changes in Net Assets </w:t>
            </w:r>
          </w:p>
          <w:p w14:paraId="22EE39C4"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9924" w:type="dxa"/>
            <w:gridSpan w:val="2"/>
            <w:shd w:val="clear" w:color="auto" w:fill="auto"/>
          </w:tcPr>
          <w:p w14:paraId="282ADC83" w14:textId="77777777" w:rsidR="00C74FDD" w:rsidRDefault="0029635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1" w:line="264" w:lineRule="auto"/>
              <w:ind w:left="0"/>
              <w:rPr>
                <w:b/>
                <w:sz w:val="20"/>
              </w:rPr>
            </w:pPr>
            <w:r>
              <w:rPr>
                <w:sz w:val="20"/>
              </w:rPr>
              <w:t xml:space="preserve">This statement is derived from the Statement of Changes in Net Equity included in the </w:t>
            </w:r>
            <w:r>
              <w:rPr>
                <w:i/>
                <w:sz w:val="20"/>
              </w:rPr>
              <w:t xml:space="preserve">IFRS for SMEs </w:t>
            </w:r>
            <w:r>
              <w:rPr>
                <w:sz w:val="20"/>
              </w:rPr>
              <w:t xml:space="preserve">Accounting Standard. It includes a number of transactions that under the </w:t>
            </w:r>
            <w:r>
              <w:rPr>
                <w:i/>
                <w:sz w:val="20"/>
              </w:rPr>
              <w:t xml:space="preserve">IFRS for SMEs </w:t>
            </w:r>
            <w:r>
              <w:rPr>
                <w:sz w:val="20"/>
              </w:rPr>
              <w:t>Accounting Standard would be part of Other Comprehensive income.</w:t>
            </w:r>
          </w:p>
        </w:tc>
      </w:tr>
      <w:tr w:rsidR="00C74FDD" w14:paraId="7CEB4114" w14:textId="77777777">
        <w:tblPrEx>
          <w:tblBorders>
            <w:insideH w:val="single" w:sz="4" w:space="0" w:color="000000"/>
          </w:tblBorders>
        </w:tblPrEx>
        <w:tc>
          <w:tcPr>
            <w:tcW w:w="4388" w:type="dxa"/>
            <w:shd w:val="clear" w:color="auto" w:fill="auto"/>
          </w:tcPr>
          <w:p w14:paraId="161FC819"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1642" w:type="dxa"/>
            <w:shd w:val="clear" w:color="auto" w:fill="auto"/>
          </w:tcPr>
          <w:p w14:paraId="5C4C2A5E"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w:t>
            </w:r>
            <w:r>
              <w:rPr>
                <w:rFonts w:ascii="Arial" w:eastAsia="Arial" w:hAnsi="Arial"/>
                <w:b/>
                <w:sz w:val="20"/>
              </w:rPr>
              <w:t>ferences</w:t>
            </w:r>
          </w:p>
        </w:tc>
        <w:tc>
          <w:tcPr>
            <w:tcW w:w="8282" w:type="dxa"/>
            <w:shd w:val="clear" w:color="auto" w:fill="auto"/>
          </w:tcPr>
          <w:p w14:paraId="71023655"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Responses</w:t>
            </w:r>
          </w:p>
        </w:tc>
      </w:tr>
      <w:tr w:rsidR="00C74FDD" w14:paraId="7818531C" w14:textId="77777777">
        <w:tblPrEx>
          <w:tblBorders>
            <w:insideH w:val="single" w:sz="4" w:space="0" w:color="000000"/>
          </w:tblBorders>
        </w:tblPrEx>
        <w:tc>
          <w:tcPr>
            <w:tcW w:w="4388" w:type="dxa"/>
            <w:shd w:val="clear" w:color="auto" w:fill="auto"/>
          </w:tcPr>
          <w:p w14:paraId="682C932D" w14:textId="77777777" w:rsidR="00C74FDD" w:rsidRDefault="00296353">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with the proposal that there is no Other Comprehensive Income (OCI), and that an expanded Statement of Changes in Net Assets would allow an equivalent to the OCI being produced. If not, why not?</w:t>
            </w:r>
          </w:p>
        </w:tc>
        <w:tc>
          <w:tcPr>
            <w:tcW w:w="1642" w:type="dxa"/>
            <w:shd w:val="clear" w:color="auto" w:fill="auto"/>
          </w:tcPr>
          <w:p w14:paraId="11170961"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r>
              <w:rPr>
                <w:rFonts w:ascii="Arial" w:eastAsia="Arial" w:hAnsi="Arial"/>
                <w:sz w:val="20"/>
              </w:rPr>
              <w:t>G6.2, BC5.13-BC5.16, BC6.1-BC6.5</w:t>
            </w:r>
          </w:p>
          <w:p w14:paraId="3BCF9486"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p>
        </w:tc>
        <w:tc>
          <w:tcPr>
            <w:tcW w:w="8282" w:type="dxa"/>
            <w:shd w:val="clear" w:color="auto" w:fill="auto"/>
          </w:tcPr>
          <w:p w14:paraId="25819AB2"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702D33C6" w14:textId="77777777">
        <w:tc>
          <w:tcPr>
            <w:tcW w:w="4388" w:type="dxa"/>
            <w:shd w:val="clear" w:color="auto" w:fill="auto"/>
          </w:tcPr>
          <w:p w14:paraId="58395F11" w14:textId="77777777" w:rsidR="00C74FDD" w:rsidRDefault="00296353">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w:t>
            </w:r>
            <w:r>
              <w:rPr>
                <w:rFonts w:ascii="Arial" w:eastAsia="Arial" w:hAnsi="Arial"/>
                <w:sz w:val="20"/>
              </w:rPr>
              <w:t>gree that funds are split between those with and those without restrictions on the face of the primary statement? If not, what alternative approach would you propose and why?</w:t>
            </w:r>
          </w:p>
        </w:tc>
        <w:tc>
          <w:tcPr>
            <w:tcW w:w="1642" w:type="dxa"/>
            <w:shd w:val="clear" w:color="auto" w:fill="auto"/>
          </w:tcPr>
          <w:p w14:paraId="2C00FFCB"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sz w:val="20"/>
              </w:rPr>
              <w:t>G6.4</w:t>
            </w:r>
          </w:p>
        </w:tc>
        <w:tc>
          <w:tcPr>
            <w:tcW w:w="8282" w:type="dxa"/>
            <w:shd w:val="clear" w:color="auto" w:fill="auto"/>
          </w:tcPr>
          <w:p w14:paraId="3D61E8CF"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bl>
    <w:p w14:paraId="11282653"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4388"/>
        <w:gridCol w:w="1642"/>
        <w:gridCol w:w="8282"/>
      </w:tblGrid>
      <w:tr w:rsidR="00C74FDD" w14:paraId="1CF53898" w14:textId="77777777">
        <w:tc>
          <w:tcPr>
            <w:tcW w:w="4388" w:type="dxa"/>
            <w:shd w:val="clear" w:color="auto" w:fill="auto"/>
          </w:tcPr>
          <w:p w14:paraId="4C52E723"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 xml:space="preserve">Question 8: Scope and presentation of the Statement of Cash Flows </w:t>
            </w:r>
          </w:p>
        </w:tc>
        <w:tc>
          <w:tcPr>
            <w:tcW w:w="9924" w:type="dxa"/>
            <w:gridSpan w:val="2"/>
            <w:shd w:val="clear" w:color="auto" w:fill="auto"/>
          </w:tcPr>
          <w:p w14:paraId="237A1145" w14:textId="77777777" w:rsidR="00C74FDD" w:rsidRDefault="0029635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2" w:line="254" w:lineRule="auto"/>
              <w:ind w:left="0" w:right="206"/>
              <w:rPr>
                <w:b/>
                <w:sz w:val="20"/>
              </w:rPr>
            </w:pPr>
            <w:r>
              <w:rPr>
                <w:sz w:val="20"/>
              </w:rPr>
              <w:t xml:space="preserve">This Section includes disclosures to highlight NPO specific transactions, such as revenue to fund the purchase of property, plant and equipment. There are no changes to the fundamentals of the cash flow from the </w:t>
            </w:r>
            <w:r>
              <w:rPr>
                <w:i/>
                <w:sz w:val="20"/>
              </w:rPr>
              <w:t xml:space="preserve">IFRS for SMEs </w:t>
            </w:r>
            <w:r>
              <w:rPr>
                <w:sz w:val="20"/>
              </w:rPr>
              <w:t>Accounting Standard, with both</w:t>
            </w:r>
            <w:r>
              <w:rPr>
                <w:sz w:val="20"/>
              </w:rPr>
              <w:t xml:space="preserve"> the direct and indirect methods of producing a Statement of cash flows permitted.</w:t>
            </w:r>
          </w:p>
        </w:tc>
      </w:tr>
      <w:tr w:rsidR="00C74FDD" w14:paraId="098B5B59" w14:textId="77777777">
        <w:tblPrEx>
          <w:tblBorders>
            <w:insideH w:val="single" w:sz="4" w:space="0" w:color="000000"/>
          </w:tblBorders>
        </w:tblPrEx>
        <w:tc>
          <w:tcPr>
            <w:tcW w:w="4388" w:type="dxa"/>
            <w:shd w:val="clear" w:color="auto" w:fill="auto"/>
          </w:tcPr>
          <w:p w14:paraId="0688DF5C"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1642" w:type="dxa"/>
            <w:shd w:val="clear" w:color="auto" w:fill="auto"/>
          </w:tcPr>
          <w:p w14:paraId="4BED927B"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References</w:t>
            </w:r>
          </w:p>
        </w:tc>
        <w:tc>
          <w:tcPr>
            <w:tcW w:w="8282" w:type="dxa"/>
            <w:shd w:val="clear" w:color="auto" w:fill="auto"/>
          </w:tcPr>
          <w:p w14:paraId="74194C27"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Responses</w:t>
            </w:r>
          </w:p>
        </w:tc>
      </w:tr>
      <w:tr w:rsidR="00C74FDD" w14:paraId="65B401B8" w14:textId="77777777">
        <w:tblPrEx>
          <w:tblBorders>
            <w:insideH w:val="single" w:sz="4" w:space="0" w:color="000000"/>
          </w:tblBorders>
        </w:tblPrEx>
        <w:tc>
          <w:tcPr>
            <w:tcW w:w="4388" w:type="dxa"/>
            <w:shd w:val="clear" w:color="auto" w:fill="auto"/>
          </w:tcPr>
          <w:p w14:paraId="423C1D74" w14:textId="77777777" w:rsidR="00C74FDD" w:rsidRDefault="00296353">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with the separate presentation of cash donations and grants on the face of the statement? If not, what alternative approach would you propose and why?</w:t>
            </w:r>
          </w:p>
        </w:tc>
        <w:tc>
          <w:tcPr>
            <w:tcW w:w="1642" w:type="dxa"/>
            <w:shd w:val="clear" w:color="auto" w:fill="auto"/>
          </w:tcPr>
          <w:p w14:paraId="1742C6DB"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r>
              <w:rPr>
                <w:rFonts w:ascii="Arial" w:eastAsia="Arial" w:hAnsi="Arial"/>
                <w:sz w:val="20"/>
              </w:rPr>
              <w:t>G7.4 a)</w:t>
            </w:r>
          </w:p>
          <w:p w14:paraId="77D37F9F"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282" w:type="dxa"/>
            <w:shd w:val="clear" w:color="auto" w:fill="auto"/>
          </w:tcPr>
          <w:p w14:paraId="07D3DC38"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375E650A" w14:textId="77777777">
        <w:tblPrEx>
          <w:tblBorders>
            <w:insideH w:val="single" w:sz="4" w:space="0" w:color="000000"/>
          </w:tblBorders>
        </w:tblPrEx>
        <w:tc>
          <w:tcPr>
            <w:tcW w:w="4388" w:type="dxa"/>
            <w:shd w:val="clear" w:color="auto" w:fill="auto"/>
          </w:tcPr>
          <w:p w14:paraId="45B2E495" w14:textId="77777777" w:rsidR="00C74FDD" w:rsidRDefault="00296353">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that donations or grants received for the purchase or creation of</w:t>
            </w:r>
            <w:r>
              <w:rPr>
                <w:rFonts w:ascii="Arial" w:eastAsia="Arial" w:hAnsi="Arial"/>
                <w:sz w:val="20"/>
              </w:rPr>
              <w:t xml:space="preserve"> property, plant and equipment should be treated as investing activities? If not, what alternative would you propose and why?</w:t>
            </w:r>
          </w:p>
        </w:tc>
        <w:tc>
          <w:tcPr>
            <w:tcW w:w="1642" w:type="dxa"/>
            <w:shd w:val="clear" w:color="auto" w:fill="auto"/>
          </w:tcPr>
          <w:p w14:paraId="7AF801D1"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r>
              <w:rPr>
                <w:rFonts w:ascii="Arial" w:eastAsia="Arial" w:hAnsi="Arial"/>
                <w:sz w:val="20"/>
              </w:rPr>
              <w:t>G7.5 b)</w:t>
            </w:r>
          </w:p>
          <w:p w14:paraId="176A9907"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p>
        </w:tc>
        <w:tc>
          <w:tcPr>
            <w:tcW w:w="8282" w:type="dxa"/>
            <w:shd w:val="clear" w:color="auto" w:fill="auto"/>
          </w:tcPr>
          <w:p w14:paraId="6F7D5CCF"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1D5D2550" w14:textId="77777777">
        <w:tblPrEx>
          <w:tblBorders>
            <w:insideH w:val="single" w:sz="4" w:space="0" w:color="000000"/>
          </w:tblBorders>
        </w:tblPrEx>
        <w:tc>
          <w:tcPr>
            <w:tcW w:w="4388" w:type="dxa"/>
            <w:shd w:val="clear" w:color="auto" w:fill="auto"/>
          </w:tcPr>
          <w:p w14:paraId="3B570394" w14:textId="77777777" w:rsidR="00C74FDD" w:rsidRDefault="00296353">
            <w:pPr>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that both the direct method and indirect methods for the cash flow statement should be permitted? If not, why not?</w:t>
            </w:r>
          </w:p>
        </w:tc>
        <w:tc>
          <w:tcPr>
            <w:tcW w:w="1642" w:type="dxa"/>
            <w:shd w:val="clear" w:color="auto" w:fill="auto"/>
          </w:tcPr>
          <w:p w14:paraId="14312188"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sz w:val="20"/>
              </w:rPr>
              <w:t>G7.7-G7.9</w:t>
            </w:r>
          </w:p>
        </w:tc>
        <w:tc>
          <w:tcPr>
            <w:tcW w:w="8282" w:type="dxa"/>
            <w:shd w:val="clear" w:color="auto" w:fill="auto"/>
          </w:tcPr>
          <w:p w14:paraId="3BE00CF0"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bl>
    <w:p w14:paraId="196D248A"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4388"/>
        <w:gridCol w:w="1642"/>
        <w:gridCol w:w="8282"/>
      </w:tblGrid>
      <w:tr w:rsidR="00C74FDD" w14:paraId="3A4CDD1F" w14:textId="77777777">
        <w:tc>
          <w:tcPr>
            <w:tcW w:w="4388" w:type="dxa"/>
            <w:shd w:val="clear" w:color="auto" w:fill="auto"/>
          </w:tcPr>
          <w:p w14:paraId="0B1F77A3"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 xml:space="preserve">Question 9: Principles underpinning the notes to the financial statements </w:t>
            </w:r>
          </w:p>
          <w:p w14:paraId="513D4FDA"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9924" w:type="dxa"/>
            <w:gridSpan w:val="2"/>
            <w:shd w:val="clear" w:color="auto" w:fill="auto"/>
          </w:tcPr>
          <w:p w14:paraId="382D3B68"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sz w:val="20"/>
              </w:rPr>
              <w:t>This Section sets out the general requirements for disclosures and the notes to the primary financial statements. There are no known NPO specific issues for this Section and modifi</w:t>
            </w:r>
            <w:r>
              <w:rPr>
                <w:rFonts w:ascii="Arial" w:eastAsia="Arial" w:hAnsi="Arial"/>
                <w:sz w:val="20"/>
              </w:rPr>
              <w:t>cations made to align with other Sections.</w:t>
            </w:r>
          </w:p>
        </w:tc>
      </w:tr>
      <w:tr w:rsidR="00C74FDD" w14:paraId="2D773421" w14:textId="77777777">
        <w:tblPrEx>
          <w:tblBorders>
            <w:insideH w:val="single" w:sz="4" w:space="0" w:color="000000"/>
          </w:tblBorders>
        </w:tblPrEx>
        <w:tc>
          <w:tcPr>
            <w:tcW w:w="4388" w:type="dxa"/>
            <w:shd w:val="clear" w:color="auto" w:fill="auto"/>
          </w:tcPr>
          <w:p w14:paraId="31CBCE05"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1642" w:type="dxa"/>
            <w:shd w:val="clear" w:color="auto" w:fill="auto"/>
          </w:tcPr>
          <w:p w14:paraId="72AB74E6"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References</w:t>
            </w:r>
          </w:p>
        </w:tc>
        <w:tc>
          <w:tcPr>
            <w:tcW w:w="8282" w:type="dxa"/>
            <w:shd w:val="clear" w:color="auto" w:fill="auto"/>
          </w:tcPr>
          <w:p w14:paraId="36B088A7"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Responses</w:t>
            </w:r>
          </w:p>
        </w:tc>
      </w:tr>
      <w:tr w:rsidR="00C74FDD" w14:paraId="333DFA77" w14:textId="77777777">
        <w:tblPrEx>
          <w:tblBorders>
            <w:insideH w:val="single" w:sz="4" w:space="0" w:color="000000"/>
          </w:tblBorders>
        </w:tblPrEx>
        <w:tc>
          <w:tcPr>
            <w:tcW w:w="4388" w:type="dxa"/>
            <w:shd w:val="clear" w:color="auto" w:fill="auto"/>
          </w:tcPr>
          <w:p w14:paraId="51179813" w14:textId="77777777" w:rsidR="00C74FDD" w:rsidRDefault="00296353">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that there are no NPO specific considerations for this Section? If not, what changes would you propose and why?</w:t>
            </w:r>
          </w:p>
        </w:tc>
        <w:tc>
          <w:tcPr>
            <w:tcW w:w="1642" w:type="dxa"/>
            <w:shd w:val="clear" w:color="auto" w:fill="auto"/>
          </w:tcPr>
          <w:p w14:paraId="1131F2B0"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8282" w:type="dxa"/>
            <w:shd w:val="clear" w:color="auto" w:fill="auto"/>
          </w:tcPr>
          <w:p w14:paraId="4437FEFD"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Yes</w:t>
            </w:r>
          </w:p>
        </w:tc>
      </w:tr>
    </w:tbl>
    <w:p w14:paraId="6BBE76CD"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4388"/>
        <w:gridCol w:w="1642"/>
        <w:gridCol w:w="8282"/>
      </w:tblGrid>
      <w:tr w:rsidR="00C74FDD" w14:paraId="3BBDC50B" w14:textId="77777777">
        <w:tc>
          <w:tcPr>
            <w:tcW w:w="4388" w:type="dxa"/>
            <w:shd w:val="clear" w:color="auto" w:fill="auto"/>
          </w:tcPr>
          <w:p w14:paraId="04E092EF"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 xml:space="preserve">Question 10: Approach to consolidated and separate financial statements </w:t>
            </w:r>
          </w:p>
        </w:tc>
        <w:tc>
          <w:tcPr>
            <w:tcW w:w="9924" w:type="dxa"/>
            <w:gridSpan w:val="2"/>
            <w:shd w:val="clear" w:color="auto" w:fill="auto"/>
          </w:tcPr>
          <w:p w14:paraId="36718310" w14:textId="77777777" w:rsidR="00C74FDD" w:rsidRDefault="0029635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53" w:line="254" w:lineRule="auto"/>
              <w:ind w:left="0" w:right="21"/>
              <w:rPr>
                <w:b/>
                <w:sz w:val="20"/>
              </w:rPr>
            </w:pPr>
            <w:r>
              <w:rPr>
                <w:sz w:val="20"/>
              </w:rPr>
              <w:t>This Section sets out the principles to identify control and provides additional guidance about how control applies to NPOs. It also includes a simplification for control in a number of defined circumstances (a rebuttable presumption). It provides guidance</w:t>
            </w:r>
            <w:r>
              <w:rPr>
                <w:sz w:val="20"/>
              </w:rPr>
              <w:t xml:space="preserve"> on less common situations when consolidation might not be appropriate. The Section uses NPO-specific terminology.</w:t>
            </w:r>
          </w:p>
        </w:tc>
      </w:tr>
      <w:tr w:rsidR="00C74FDD" w14:paraId="026DCA12" w14:textId="77777777">
        <w:tblPrEx>
          <w:tblBorders>
            <w:insideH w:val="single" w:sz="4" w:space="0" w:color="000000"/>
          </w:tblBorders>
        </w:tblPrEx>
        <w:tc>
          <w:tcPr>
            <w:tcW w:w="4388" w:type="dxa"/>
            <w:shd w:val="clear" w:color="auto" w:fill="auto"/>
          </w:tcPr>
          <w:p w14:paraId="7A3D14BA"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1642" w:type="dxa"/>
            <w:shd w:val="clear" w:color="auto" w:fill="auto"/>
          </w:tcPr>
          <w:p w14:paraId="14512CB1"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References</w:t>
            </w:r>
          </w:p>
        </w:tc>
        <w:tc>
          <w:tcPr>
            <w:tcW w:w="8282" w:type="dxa"/>
            <w:shd w:val="clear" w:color="auto" w:fill="auto"/>
          </w:tcPr>
          <w:p w14:paraId="092C455E"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Response</w:t>
            </w:r>
          </w:p>
        </w:tc>
      </w:tr>
      <w:tr w:rsidR="00C74FDD" w14:paraId="4086153D" w14:textId="77777777">
        <w:tblPrEx>
          <w:tblBorders>
            <w:insideH w:val="single" w:sz="4" w:space="0" w:color="000000"/>
          </w:tblBorders>
        </w:tblPrEx>
        <w:tc>
          <w:tcPr>
            <w:tcW w:w="4388" w:type="dxa"/>
            <w:shd w:val="clear" w:color="auto" w:fill="auto"/>
          </w:tcPr>
          <w:p w14:paraId="48EDBA61" w14:textId="77777777" w:rsidR="00C74FDD" w:rsidRDefault="00296353">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Is the Application Guidance to apply the control principles sufficient? If not, what changes or additions would you propose and why?</w:t>
            </w:r>
          </w:p>
        </w:tc>
        <w:tc>
          <w:tcPr>
            <w:tcW w:w="1642" w:type="dxa"/>
            <w:shd w:val="clear" w:color="auto" w:fill="auto"/>
          </w:tcPr>
          <w:p w14:paraId="6313EAAA"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AG9.1-AG9.14</w:t>
            </w:r>
          </w:p>
          <w:p w14:paraId="0E1E5AEC"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p>
        </w:tc>
        <w:tc>
          <w:tcPr>
            <w:tcW w:w="8282" w:type="dxa"/>
            <w:shd w:val="clear" w:color="auto" w:fill="auto"/>
          </w:tcPr>
          <w:p w14:paraId="3D92B712"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Yes</w:t>
            </w:r>
          </w:p>
        </w:tc>
      </w:tr>
      <w:tr w:rsidR="00C74FDD" w14:paraId="5A3D3347" w14:textId="77777777">
        <w:tblPrEx>
          <w:tblBorders>
            <w:insideH w:val="single" w:sz="4" w:space="0" w:color="000000"/>
          </w:tblBorders>
        </w:tblPrEx>
        <w:tc>
          <w:tcPr>
            <w:tcW w:w="4388" w:type="dxa"/>
            <w:shd w:val="clear" w:color="auto" w:fill="auto"/>
          </w:tcPr>
          <w:p w14:paraId="72E9ADFB" w14:textId="77777777" w:rsidR="00C74FDD" w:rsidRDefault="00296353">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that a rebuttable presumption relating to control should be retained? Is the current drafti</w:t>
            </w:r>
            <w:r>
              <w:rPr>
                <w:rFonts w:ascii="Arial" w:eastAsia="Arial" w:hAnsi="Arial"/>
                <w:sz w:val="20"/>
              </w:rPr>
              <w:t xml:space="preserve">ng sufficient? If not, what would you propose and why? </w:t>
            </w:r>
          </w:p>
        </w:tc>
        <w:tc>
          <w:tcPr>
            <w:tcW w:w="1642" w:type="dxa"/>
            <w:shd w:val="clear" w:color="auto" w:fill="auto"/>
          </w:tcPr>
          <w:p w14:paraId="09C47ACF"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G9.17</w:t>
            </w:r>
          </w:p>
          <w:p w14:paraId="51A81E28"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p>
        </w:tc>
        <w:tc>
          <w:tcPr>
            <w:tcW w:w="8282" w:type="dxa"/>
            <w:shd w:val="clear" w:color="auto" w:fill="auto"/>
          </w:tcPr>
          <w:p w14:paraId="3999BEE5"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Yes</w:t>
            </w:r>
          </w:p>
        </w:tc>
      </w:tr>
      <w:tr w:rsidR="00C74FDD" w14:paraId="1DB67A7F" w14:textId="77777777">
        <w:tblPrEx>
          <w:tblBorders>
            <w:insideH w:val="single" w:sz="4" w:space="0" w:color="000000"/>
          </w:tblBorders>
        </w:tblPrEx>
        <w:tc>
          <w:tcPr>
            <w:tcW w:w="4388" w:type="dxa"/>
            <w:shd w:val="clear" w:color="auto" w:fill="auto"/>
          </w:tcPr>
          <w:p w14:paraId="78E50DB2" w14:textId="77777777" w:rsidR="00C74FDD" w:rsidRDefault="00296353">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 xml:space="preserve">Is the Application Guidance sufficient to apply the fundamental characteristics of faithful representation and relevance to consolidation? If not, what additions would you propose and why? </w:t>
            </w:r>
          </w:p>
        </w:tc>
        <w:tc>
          <w:tcPr>
            <w:tcW w:w="1642" w:type="dxa"/>
            <w:shd w:val="clear" w:color="auto" w:fill="auto"/>
          </w:tcPr>
          <w:p w14:paraId="064B5CE1"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G9.21-G9.22, AG9.17-AG9.19</w:t>
            </w:r>
          </w:p>
          <w:p w14:paraId="1436D6EB"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p>
        </w:tc>
        <w:tc>
          <w:tcPr>
            <w:tcW w:w="8282" w:type="dxa"/>
            <w:shd w:val="clear" w:color="auto" w:fill="auto"/>
          </w:tcPr>
          <w:p w14:paraId="16DFAB2C"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Yes</w:t>
            </w:r>
          </w:p>
        </w:tc>
      </w:tr>
      <w:tr w:rsidR="00C74FDD" w14:paraId="6B4D9BDE" w14:textId="77777777">
        <w:tblPrEx>
          <w:tblBorders>
            <w:insideH w:val="single" w:sz="4" w:space="0" w:color="000000"/>
          </w:tblBorders>
        </w:tblPrEx>
        <w:tc>
          <w:tcPr>
            <w:tcW w:w="4388" w:type="dxa"/>
            <w:shd w:val="clear" w:color="auto" w:fill="auto"/>
          </w:tcPr>
          <w:p w14:paraId="7C8626DC" w14:textId="77777777" w:rsidR="00C74FDD" w:rsidRDefault="00296353">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 xml:space="preserve">Do you agree with the use of the </w:t>
            </w:r>
            <w:r>
              <w:rPr>
                <w:rFonts w:ascii="Arial" w:eastAsia="Arial" w:hAnsi="Arial"/>
                <w:sz w:val="20"/>
              </w:rPr>
              <w:t>terms ‘controlling NPO’, ‘controlled entity’ and ‘beneficial interest’ instead of ‘parent’, ‘subsidiary’ and ‘investment’? If not, what would you propose and why?</w:t>
            </w:r>
          </w:p>
        </w:tc>
        <w:tc>
          <w:tcPr>
            <w:tcW w:w="1642" w:type="dxa"/>
            <w:shd w:val="clear" w:color="auto" w:fill="auto"/>
          </w:tcPr>
          <w:p w14:paraId="418DC620"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sz w:val="20"/>
              </w:rPr>
              <w:t>G9.7, G9.24</w:t>
            </w:r>
          </w:p>
        </w:tc>
        <w:tc>
          <w:tcPr>
            <w:tcW w:w="8282" w:type="dxa"/>
            <w:shd w:val="clear" w:color="auto" w:fill="auto"/>
          </w:tcPr>
          <w:p w14:paraId="76F68B5E"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Yes</w:t>
            </w:r>
          </w:p>
        </w:tc>
      </w:tr>
    </w:tbl>
    <w:p w14:paraId="1B618445"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4388"/>
        <w:gridCol w:w="1642"/>
        <w:gridCol w:w="8282"/>
      </w:tblGrid>
      <w:tr w:rsidR="00C74FDD" w14:paraId="6F8AAE92" w14:textId="77777777">
        <w:tc>
          <w:tcPr>
            <w:tcW w:w="4388" w:type="dxa"/>
            <w:shd w:val="clear" w:color="auto" w:fill="auto"/>
          </w:tcPr>
          <w:p w14:paraId="071BFED8"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Question 11: Approach to accounting policies, construction of estimates and accounting for errors</w:t>
            </w:r>
          </w:p>
        </w:tc>
        <w:tc>
          <w:tcPr>
            <w:tcW w:w="9924" w:type="dxa"/>
            <w:gridSpan w:val="2"/>
            <w:shd w:val="clear" w:color="auto" w:fill="auto"/>
          </w:tcPr>
          <w:p w14:paraId="580C6BA6"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sz w:val="20"/>
              </w:rPr>
              <w:t>This Section sets out the requirements for disclosure and approach to accounting policies, estimates and errors. There are no known NPO specific issues for th</w:t>
            </w:r>
            <w:r>
              <w:rPr>
                <w:rFonts w:ascii="Arial" w:eastAsia="Arial" w:hAnsi="Arial"/>
                <w:sz w:val="20"/>
              </w:rPr>
              <w:t>is Section with modifications made to align with other Sections.</w:t>
            </w:r>
          </w:p>
        </w:tc>
      </w:tr>
      <w:tr w:rsidR="00C74FDD" w14:paraId="0AE9D497" w14:textId="77777777">
        <w:tblPrEx>
          <w:tblBorders>
            <w:insideH w:val="single" w:sz="4" w:space="0" w:color="000000"/>
          </w:tblBorders>
        </w:tblPrEx>
        <w:tc>
          <w:tcPr>
            <w:tcW w:w="4388" w:type="dxa"/>
            <w:shd w:val="clear" w:color="auto" w:fill="auto"/>
          </w:tcPr>
          <w:p w14:paraId="36580D21"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1642" w:type="dxa"/>
            <w:shd w:val="clear" w:color="auto" w:fill="auto"/>
          </w:tcPr>
          <w:p w14:paraId="6AFC68A7"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References</w:t>
            </w:r>
          </w:p>
        </w:tc>
        <w:tc>
          <w:tcPr>
            <w:tcW w:w="8282" w:type="dxa"/>
            <w:shd w:val="clear" w:color="auto" w:fill="auto"/>
          </w:tcPr>
          <w:p w14:paraId="7047BB50"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Responses</w:t>
            </w:r>
          </w:p>
        </w:tc>
      </w:tr>
      <w:tr w:rsidR="00C74FDD" w14:paraId="06A005D1" w14:textId="77777777">
        <w:tblPrEx>
          <w:tblBorders>
            <w:insideH w:val="single" w:sz="4" w:space="0" w:color="000000"/>
          </w:tblBorders>
        </w:tblPrEx>
        <w:tc>
          <w:tcPr>
            <w:tcW w:w="4388" w:type="dxa"/>
            <w:shd w:val="clear" w:color="auto" w:fill="auto"/>
          </w:tcPr>
          <w:p w14:paraId="478D6751" w14:textId="77777777" w:rsidR="00C74FDD" w:rsidRDefault="00296353">
            <w:pPr>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with the updates to Section 10 and that there are no additional NPO specific considerations that need to be addressed in this Section? If not, what changes or additions would you propose and why?</w:t>
            </w:r>
          </w:p>
        </w:tc>
        <w:tc>
          <w:tcPr>
            <w:tcW w:w="1642" w:type="dxa"/>
            <w:shd w:val="clear" w:color="auto" w:fill="auto"/>
          </w:tcPr>
          <w:p w14:paraId="16C16CB0"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8282" w:type="dxa"/>
            <w:shd w:val="clear" w:color="auto" w:fill="auto"/>
          </w:tcPr>
          <w:p w14:paraId="157362BF"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Yes</w:t>
            </w:r>
          </w:p>
        </w:tc>
      </w:tr>
    </w:tbl>
    <w:p w14:paraId="440BE0E4"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sz w:val="20"/>
        </w:rPr>
      </w:pPr>
    </w:p>
    <w:tbl>
      <w:tblPr>
        <w:tblW w:w="0" w:type="auto"/>
        <w:tblInd w:w="108"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4388"/>
        <w:gridCol w:w="1642"/>
        <w:gridCol w:w="8282"/>
      </w:tblGrid>
      <w:tr w:rsidR="00C74FDD" w14:paraId="39979173" w14:textId="77777777">
        <w:tc>
          <w:tcPr>
            <w:tcW w:w="4388" w:type="dxa"/>
            <w:shd w:val="clear" w:color="auto" w:fill="auto"/>
          </w:tcPr>
          <w:p w14:paraId="16BF6CFD"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r>
              <w:rPr>
                <w:rFonts w:ascii="Arial" w:eastAsia="Arial" w:hAnsi="Arial"/>
                <w:b/>
                <w:sz w:val="20"/>
              </w:rPr>
              <w:t>Question 12: Scope and content of narrat</w:t>
            </w:r>
            <w:r>
              <w:rPr>
                <w:rFonts w:ascii="Arial" w:eastAsia="Arial" w:hAnsi="Arial"/>
                <w:b/>
                <w:sz w:val="20"/>
              </w:rPr>
              <w:t xml:space="preserve">ive reporting </w:t>
            </w:r>
          </w:p>
          <w:p w14:paraId="48C4D770"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9924" w:type="dxa"/>
            <w:gridSpan w:val="2"/>
            <w:shd w:val="clear" w:color="auto" w:fill="auto"/>
          </w:tcPr>
          <w:p w14:paraId="4289C000" w14:textId="77777777" w:rsidR="00C74FDD" w:rsidRDefault="00296353">
            <w:pPr>
              <w:pStyle w:val="Table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ight="204"/>
              <w:rPr>
                <w:b/>
                <w:sz w:val="20"/>
              </w:rPr>
            </w:pPr>
            <w:r>
              <w:rPr>
                <w:sz w:val="20"/>
              </w:rPr>
              <w:t>This is a new Section that has been written specifically for NPOs. It sets out the principles for narrative reporting, including the qualitative characteristics of the information to be included in the reports. It mandates the requirement for financial ana</w:t>
            </w:r>
            <w:r>
              <w:rPr>
                <w:sz w:val="20"/>
              </w:rPr>
              <w:t>lysis and performance information to be included in general purpose financial reports. It leaves as optional any additional information that an NPO may wish to report on, such as sustainability reporting. It includes an exception, where information might b</w:t>
            </w:r>
            <w:r>
              <w:rPr>
                <w:sz w:val="20"/>
              </w:rPr>
              <w:t>e prejudicial to the operation of the NPO and the safety of its staff and volunteers.</w:t>
            </w:r>
          </w:p>
        </w:tc>
      </w:tr>
      <w:tr w:rsidR="00C74FDD" w14:paraId="0C002EE7" w14:textId="77777777">
        <w:tblPrEx>
          <w:tblBorders>
            <w:insideH w:val="single" w:sz="4" w:space="0" w:color="000000"/>
          </w:tblBorders>
        </w:tblPrEx>
        <w:tc>
          <w:tcPr>
            <w:tcW w:w="4388" w:type="dxa"/>
            <w:shd w:val="clear" w:color="auto" w:fill="auto"/>
          </w:tcPr>
          <w:p w14:paraId="06B3AD44"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b/>
                <w:sz w:val="20"/>
              </w:rPr>
            </w:pPr>
          </w:p>
        </w:tc>
        <w:tc>
          <w:tcPr>
            <w:tcW w:w="1642" w:type="dxa"/>
            <w:shd w:val="clear" w:color="auto" w:fill="auto"/>
          </w:tcPr>
          <w:p w14:paraId="360ABDEE"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References</w:t>
            </w:r>
          </w:p>
        </w:tc>
        <w:tc>
          <w:tcPr>
            <w:tcW w:w="8282" w:type="dxa"/>
            <w:shd w:val="clear" w:color="auto" w:fill="auto"/>
          </w:tcPr>
          <w:p w14:paraId="55251E17"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Responses</w:t>
            </w:r>
          </w:p>
        </w:tc>
      </w:tr>
      <w:tr w:rsidR="00C74FDD" w14:paraId="6B160F4C" w14:textId="77777777">
        <w:tblPrEx>
          <w:tblBorders>
            <w:insideH w:val="single" w:sz="4" w:space="0" w:color="000000"/>
          </w:tblBorders>
        </w:tblPrEx>
        <w:tc>
          <w:tcPr>
            <w:tcW w:w="4388" w:type="dxa"/>
            <w:shd w:val="clear" w:color="auto" w:fill="auto"/>
          </w:tcPr>
          <w:p w14:paraId="7E13FF86" w14:textId="77777777" w:rsidR="00C74FDD" w:rsidRDefault="00296353">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with the principles proposed to underpin narrative reporting? If not, what would you propose to change and why?</w:t>
            </w:r>
          </w:p>
        </w:tc>
        <w:tc>
          <w:tcPr>
            <w:tcW w:w="1642" w:type="dxa"/>
            <w:shd w:val="clear" w:color="auto" w:fill="auto"/>
          </w:tcPr>
          <w:p w14:paraId="603EACF1" w14:textId="77777777" w:rsidR="00C74FDD" w:rsidRDefault="00296353">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sz w:val="20"/>
              </w:rPr>
            </w:pPr>
            <w:r>
              <w:rPr>
                <w:rFonts w:ascii="Arial" w:eastAsia="Arial" w:hAnsi="Arial"/>
                <w:sz w:val="20"/>
              </w:rPr>
              <w:t>G35.3-G35.7 </w:t>
            </w:r>
          </w:p>
          <w:p w14:paraId="5F7D7DBA"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p>
        </w:tc>
        <w:tc>
          <w:tcPr>
            <w:tcW w:w="8282" w:type="dxa"/>
            <w:shd w:val="clear" w:color="auto" w:fill="auto"/>
          </w:tcPr>
          <w:p w14:paraId="6C4D4327"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1C36DF92" w14:textId="77777777">
        <w:tblPrEx>
          <w:tblBorders>
            <w:insideH w:val="single" w:sz="4" w:space="0" w:color="000000"/>
          </w:tblBorders>
        </w:tblPrEx>
        <w:tc>
          <w:tcPr>
            <w:tcW w:w="4388" w:type="dxa"/>
            <w:shd w:val="clear" w:color="auto" w:fill="auto"/>
          </w:tcPr>
          <w:p w14:paraId="4855D89C" w14:textId="77777777" w:rsidR="00C74FDD" w:rsidRDefault="00296353">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with the scope of the minimum mandatory requirement, with additional information, such as sustainability reporting to be optional? If not, what changes should be made and why?</w:t>
            </w:r>
          </w:p>
        </w:tc>
        <w:tc>
          <w:tcPr>
            <w:tcW w:w="1642" w:type="dxa"/>
            <w:shd w:val="clear" w:color="auto" w:fill="auto"/>
          </w:tcPr>
          <w:p w14:paraId="2063B835" w14:textId="77777777" w:rsidR="00C74FDD" w:rsidRDefault="00296353">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sz w:val="20"/>
              </w:rPr>
            </w:pPr>
            <w:r>
              <w:rPr>
                <w:rFonts w:ascii="Arial" w:eastAsia="Arial" w:hAnsi="Arial"/>
                <w:sz w:val="20"/>
              </w:rPr>
              <w:t>G35.8-G35.19, G35.30, AG35.2-AG35.13 </w:t>
            </w:r>
          </w:p>
          <w:p w14:paraId="2C9E936F"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p>
        </w:tc>
        <w:tc>
          <w:tcPr>
            <w:tcW w:w="8282" w:type="dxa"/>
            <w:shd w:val="clear" w:color="auto" w:fill="auto"/>
          </w:tcPr>
          <w:p w14:paraId="5A8ADC6B"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15A3B09F" w14:textId="77777777">
        <w:tblPrEx>
          <w:tblBorders>
            <w:insideH w:val="single" w:sz="4" w:space="0" w:color="000000"/>
          </w:tblBorders>
        </w:tblPrEx>
        <w:tc>
          <w:tcPr>
            <w:tcW w:w="4388" w:type="dxa"/>
            <w:shd w:val="clear" w:color="auto" w:fill="auto"/>
          </w:tcPr>
          <w:p w14:paraId="002BB0B2" w14:textId="77777777" w:rsidR="00C74FDD" w:rsidRDefault="00296353">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Do you agree with the proposals that sensitive information can be excluded from narrative reports? If not, what alternative would you propose and why?</w:t>
            </w:r>
          </w:p>
        </w:tc>
        <w:tc>
          <w:tcPr>
            <w:tcW w:w="1642" w:type="dxa"/>
            <w:shd w:val="clear" w:color="auto" w:fill="auto"/>
          </w:tcPr>
          <w:p w14:paraId="2726492C" w14:textId="77777777" w:rsidR="00C74FDD" w:rsidRDefault="00296353">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sz w:val="20"/>
              </w:rPr>
            </w:pPr>
            <w:r>
              <w:rPr>
                <w:rFonts w:ascii="Arial" w:eastAsia="Arial" w:hAnsi="Arial"/>
                <w:sz w:val="20"/>
              </w:rPr>
              <w:t>G35.7 </w:t>
            </w:r>
          </w:p>
          <w:p w14:paraId="02D1F2C8"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p>
        </w:tc>
        <w:tc>
          <w:tcPr>
            <w:tcW w:w="8282" w:type="dxa"/>
            <w:shd w:val="clear" w:color="auto" w:fill="auto"/>
          </w:tcPr>
          <w:p w14:paraId="4B5BA3B2"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r w:rsidR="00C74FDD" w14:paraId="5EBD7C20" w14:textId="77777777">
        <w:tblPrEx>
          <w:tblBorders>
            <w:insideH w:val="single" w:sz="4" w:space="0" w:color="000000"/>
          </w:tblBorders>
        </w:tblPrEx>
        <w:tc>
          <w:tcPr>
            <w:tcW w:w="4388" w:type="dxa"/>
            <w:shd w:val="clear" w:color="auto" w:fill="auto"/>
          </w:tcPr>
          <w:p w14:paraId="43BB7CC8" w14:textId="77777777" w:rsidR="00C74FDD" w:rsidRDefault="00296353">
            <w:pPr>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both"/>
              <w:rPr>
                <w:rFonts w:ascii="Arial" w:eastAsia="Arial" w:hAnsi="Arial"/>
                <w:sz w:val="20"/>
              </w:rPr>
            </w:pPr>
            <w:r>
              <w:rPr>
                <w:rFonts w:ascii="Arial" w:eastAsia="Arial" w:hAnsi="Arial"/>
                <w:sz w:val="20"/>
              </w:rPr>
              <w:t>Should a two-year transition period for narrative reporting be permitted to assist in overcoming any implementation challenges? If not, what alternative would you propose and why?</w:t>
            </w:r>
          </w:p>
        </w:tc>
        <w:tc>
          <w:tcPr>
            <w:tcW w:w="1642" w:type="dxa"/>
            <w:shd w:val="clear" w:color="auto" w:fill="auto"/>
          </w:tcPr>
          <w:p w14:paraId="0AAEE744"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p>
          <w:p w14:paraId="72EAD0AD"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sz w:val="20"/>
              </w:rPr>
            </w:pPr>
          </w:p>
          <w:p w14:paraId="355466CC" w14:textId="77777777" w:rsidR="00C74FDD" w:rsidRDefault="00C74FDD">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sz w:val="20"/>
              </w:rPr>
            </w:pPr>
          </w:p>
          <w:p w14:paraId="01F873F5" w14:textId="77777777" w:rsidR="00C74FDD" w:rsidRDefault="00C74FDD">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sz w:val="20"/>
              </w:rPr>
            </w:pPr>
          </w:p>
          <w:p w14:paraId="33853B4C" w14:textId="77777777" w:rsidR="00C74FDD" w:rsidRDefault="00C74FDD">
            <w:pPr>
              <w:pStyle w:val="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b/>
                <w:sz w:val="20"/>
              </w:rPr>
            </w:pPr>
          </w:p>
        </w:tc>
        <w:tc>
          <w:tcPr>
            <w:tcW w:w="8282" w:type="dxa"/>
            <w:shd w:val="clear" w:color="auto" w:fill="auto"/>
          </w:tcPr>
          <w:p w14:paraId="19409C6B" w14:textId="77777777" w:rsidR="00C74FDD" w:rsidRDefault="002963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rPr>
                <w:rFonts w:ascii="Arial" w:eastAsia="Arial" w:hAnsi="Arial"/>
                <w:b/>
                <w:sz w:val="20"/>
              </w:rPr>
            </w:pPr>
            <w:r>
              <w:rPr>
                <w:rFonts w:ascii="Arial" w:eastAsia="Arial" w:hAnsi="Arial"/>
                <w:b/>
                <w:sz w:val="20"/>
              </w:rPr>
              <w:t>Yes</w:t>
            </w:r>
          </w:p>
        </w:tc>
      </w:tr>
    </w:tbl>
    <w:p w14:paraId="264FCDDD" w14:textId="77777777" w:rsidR="00C74FDD" w:rsidRDefault="00C74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b/>
          <w:sz w:val="20"/>
        </w:rPr>
      </w:pPr>
    </w:p>
    <w:sectPr w:rsidR="00C74FDD">
      <w:pgSz w:w="16834" w:h="11909"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C28"/>
    <w:multiLevelType w:val="singleLevel"/>
    <w:tmpl w:val="8C0A0422"/>
    <w:lvl w:ilvl="0">
      <w:start w:val="1"/>
      <w:numFmt w:val="lowerLetter"/>
      <w:lvlText w:val="%1)"/>
      <w:lvlJc w:val="left"/>
      <w:pPr>
        <w:tabs>
          <w:tab w:val="num" w:pos="720"/>
        </w:tabs>
        <w:ind w:left="720" w:hanging="360"/>
      </w:pPr>
      <w:rPr>
        <w:rFonts w:ascii="Arial" w:eastAsia="Arial" w:hAnsi="Arial" w:hint="default"/>
        <w:b w:val="0"/>
        <w:i w:val="0"/>
        <w:strike w:val="0"/>
        <w:color w:val="auto"/>
        <w:position w:val="0"/>
        <w:sz w:val="20"/>
        <w:u w:val="none"/>
        <w:shd w:val="clear" w:color="auto" w:fill="auto"/>
      </w:rPr>
    </w:lvl>
  </w:abstractNum>
  <w:abstractNum w:abstractNumId="1" w15:restartNumberingAfterBreak="0">
    <w:nsid w:val="05AA0C16"/>
    <w:multiLevelType w:val="singleLevel"/>
    <w:tmpl w:val="C43009D6"/>
    <w:lvl w:ilvl="0">
      <w:start w:val="1"/>
      <w:numFmt w:val="lowerLetter"/>
      <w:lvlText w:val="%1)"/>
      <w:lvlJc w:val="left"/>
      <w:pPr>
        <w:tabs>
          <w:tab w:val="num" w:pos="720"/>
        </w:tabs>
        <w:ind w:left="720" w:hanging="360"/>
      </w:pPr>
      <w:rPr>
        <w:rFonts w:ascii="Arial" w:eastAsia="Arial" w:hAnsi="Arial" w:hint="default"/>
        <w:b w:val="0"/>
        <w:i w:val="0"/>
        <w:strike w:val="0"/>
        <w:color w:val="auto"/>
        <w:position w:val="0"/>
        <w:sz w:val="20"/>
        <w:u w:val="none"/>
        <w:shd w:val="clear" w:color="auto" w:fill="auto"/>
      </w:rPr>
    </w:lvl>
  </w:abstractNum>
  <w:abstractNum w:abstractNumId="2" w15:restartNumberingAfterBreak="0">
    <w:nsid w:val="104C668A"/>
    <w:multiLevelType w:val="singleLevel"/>
    <w:tmpl w:val="EEF6E1B6"/>
    <w:lvl w:ilvl="0">
      <w:start w:val="1"/>
      <w:numFmt w:val="lowerLetter"/>
      <w:lvlText w:val="%1)"/>
      <w:lvlJc w:val="left"/>
      <w:pPr>
        <w:tabs>
          <w:tab w:val="num" w:pos="720"/>
        </w:tabs>
        <w:ind w:left="720" w:hanging="360"/>
      </w:pPr>
      <w:rPr>
        <w:rFonts w:ascii="Arial" w:eastAsia="Arial" w:hAnsi="Arial" w:hint="default"/>
        <w:b w:val="0"/>
        <w:i w:val="0"/>
        <w:strike w:val="0"/>
        <w:color w:val="auto"/>
        <w:position w:val="0"/>
        <w:sz w:val="20"/>
        <w:u w:val="none"/>
        <w:shd w:val="clear" w:color="auto" w:fill="auto"/>
      </w:rPr>
    </w:lvl>
  </w:abstractNum>
  <w:abstractNum w:abstractNumId="3" w15:restartNumberingAfterBreak="0">
    <w:nsid w:val="17E55207"/>
    <w:multiLevelType w:val="singleLevel"/>
    <w:tmpl w:val="2C3C7C58"/>
    <w:lvl w:ilvl="0">
      <w:start w:val="1"/>
      <w:numFmt w:val="lowerLetter"/>
      <w:lvlText w:val="%1)"/>
      <w:lvlJc w:val="left"/>
      <w:pPr>
        <w:tabs>
          <w:tab w:val="num" w:pos="720"/>
        </w:tabs>
        <w:ind w:left="720" w:hanging="360"/>
      </w:pPr>
      <w:rPr>
        <w:rFonts w:ascii="Arial" w:eastAsia="Arial" w:hAnsi="Arial" w:hint="default"/>
        <w:b w:val="0"/>
        <w:i w:val="0"/>
        <w:strike w:val="0"/>
        <w:color w:val="auto"/>
        <w:position w:val="0"/>
        <w:sz w:val="20"/>
        <w:u w:val="none"/>
        <w:shd w:val="clear" w:color="auto" w:fill="auto"/>
      </w:rPr>
    </w:lvl>
  </w:abstractNum>
  <w:abstractNum w:abstractNumId="4" w15:restartNumberingAfterBreak="0">
    <w:nsid w:val="23F365F5"/>
    <w:multiLevelType w:val="singleLevel"/>
    <w:tmpl w:val="7730035A"/>
    <w:lvl w:ilvl="0">
      <w:start w:val="1"/>
      <w:numFmt w:val="lowerLetter"/>
      <w:lvlText w:val="%1)"/>
      <w:lvlJc w:val="left"/>
      <w:pPr>
        <w:tabs>
          <w:tab w:val="num" w:pos="720"/>
        </w:tabs>
        <w:ind w:left="720" w:hanging="360"/>
      </w:pPr>
      <w:rPr>
        <w:rFonts w:ascii="Arial" w:eastAsia="Arial" w:hAnsi="Arial" w:hint="default"/>
        <w:b w:val="0"/>
        <w:i w:val="0"/>
        <w:strike w:val="0"/>
        <w:color w:val="auto"/>
        <w:position w:val="0"/>
        <w:sz w:val="20"/>
        <w:u w:val="none"/>
        <w:shd w:val="clear" w:color="auto" w:fill="auto"/>
      </w:rPr>
    </w:lvl>
  </w:abstractNum>
  <w:abstractNum w:abstractNumId="5" w15:restartNumberingAfterBreak="0">
    <w:nsid w:val="316F2CAB"/>
    <w:multiLevelType w:val="singleLevel"/>
    <w:tmpl w:val="8E5835FE"/>
    <w:lvl w:ilvl="0">
      <w:start w:val="1"/>
      <w:numFmt w:val="lowerLetter"/>
      <w:lvlText w:val="%1)"/>
      <w:lvlJc w:val="left"/>
      <w:pPr>
        <w:tabs>
          <w:tab w:val="num" w:pos="720"/>
        </w:tabs>
        <w:ind w:left="720" w:hanging="360"/>
      </w:pPr>
      <w:rPr>
        <w:rFonts w:ascii="Arial" w:eastAsia="Arial" w:hAnsi="Arial" w:hint="default"/>
        <w:b w:val="0"/>
        <w:i w:val="0"/>
        <w:strike w:val="0"/>
        <w:color w:val="auto"/>
        <w:position w:val="0"/>
        <w:sz w:val="20"/>
        <w:u w:val="none"/>
        <w:shd w:val="clear" w:color="auto" w:fill="auto"/>
      </w:rPr>
    </w:lvl>
  </w:abstractNum>
  <w:abstractNum w:abstractNumId="6" w15:restartNumberingAfterBreak="0">
    <w:nsid w:val="37310E13"/>
    <w:multiLevelType w:val="singleLevel"/>
    <w:tmpl w:val="54743CE2"/>
    <w:lvl w:ilvl="0">
      <w:start w:val="1"/>
      <w:numFmt w:val="bullet"/>
      <w:lvlText w:val=""/>
      <w:lvlJc w:val="left"/>
      <w:pPr>
        <w:tabs>
          <w:tab w:val="num" w:pos="720"/>
        </w:tabs>
        <w:ind w:left="720" w:hanging="360"/>
      </w:pPr>
      <w:rPr>
        <w:rFonts w:ascii="Symbol" w:eastAsia="Symbol" w:hAnsi="Symbol" w:hint="default"/>
        <w:b w:val="0"/>
        <w:i w:val="0"/>
        <w:strike w:val="0"/>
        <w:color w:val="auto"/>
        <w:position w:val="0"/>
        <w:sz w:val="20"/>
        <w:u w:val="none"/>
        <w:shd w:val="clear" w:color="auto" w:fill="auto"/>
      </w:rPr>
    </w:lvl>
  </w:abstractNum>
  <w:abstractNum w:abstractNumId="7" w15:restartNumberingAfterBreak="0">
    <w:nsid w:val="401A760E"/>
    <w:multiLevelType w:val="singleLevel"/>
    <w:tmpl w:val="7C82F754"/>
    <w:lvl w:ilvl="0">
      <w:start w:val="1"/>
      <w:numFmt w:val="lowerLetter"/>
      <w:lvlText w:val="%1)"/>
      <w:lvlJc w:val="left"/>
      <w:pPr>
        <w:tabs>
          <w:tab w:val="num" w:pos="720"/>
        </w:tabs>
        <w:ind w:left="720" w:hanging="360"/>
      </w:pPr>
      <w:rPr>
        <w:rFonts w:ascii="Arial" w:eastAsia="Arial" w:hAnsi="Arial" w:hint="default"/>
        <w:b w:val="0"/>
        <w:i w:val="0"/>
        <w:strike w:val="0"/>
        <w:color w:val="auto"/>
        <w:position w:val="0"/>
        <w:sz w:val="20"/>
        <w:u w:val="none"/>
        <w:shd w:val="clear" w:color="auto" w:fill="auto"/>
      </w:rPr>
    </w:lvl>
  </w:abstractNum>
  <w:abstractNum w:abstractNumId="8" w15:restartNumberingAfterBreak="0">
    <w:nsid w:val="499F2ACE"/>
    <w:multiLevelType w:val="singleLevel"/>
    <w:tmpl w:val="B5C4C22E"/>
    <w:lvl w:ilvl="0">
      <w:start w:val="1"/>
      <w:numFmt w:val="lowerLetter"/>
      <w:lvlText w:val="%1)"/>
      <w:lvlJc w:val="left"/>
      <w:pPr>
        <w:tabs>
          <w:tab w:val="num" w:pos="720"/>
        </w:tabs>
        <w:ind w:left="720" w:hanging="360"/>
      </w:pPr>
      <w:rPr>
        <w:rFonts w:ascii="Arial" w:eastAsia="Arial" w:hAnsi="Arial" w:hint="default"/>
        <w:b w:val="0"/>
        <w:i w:val="0"/>
        <w:strike w:val="0"/>
        <w:color w:val="auto"/>
        <w:position w:val="0"/>
        <w:sz w:val="20"/>
        <w:u w:val="none"/>
        <w:shd w:val="clear" w:color="auto" w:fill="auto"/>
      </w:rPr>
    </w:lvl>
  </w:abstractNum>
  <w:abstractNum w:abstractNumId="9" w15:restartNumberingAfterBreak="0">
    <w:nsid w:val="5C27158F"/>
    <w:multiLevelType w:val="singleLevel"/>
    <w:tmpl w:val="904C1E4E"/>
    <w:lvl w:ilvl="0">
      <w:start w:val="1"/>
      <w:numFmt w:val="lowerLetter"/>
      <w:lvlText w:val="%1)"/>
      <w:lvlJc w:val="left"/>
      <w:pPr>
        <w:tabs>
          <w:tab w:val="num" w:pos="720"/>
        </w:tabs>
        <w:ind w:left="720" w:hanging="360"/>
      </w:pPr>
      <w:rPr>
        <w:rFonts w:ascii="Arial" w:eastAsia="Arial" w:hAnsi="Arial" w:hint="default"/>
        <w:b w:val="0"/>
        <w:i w:val="0"/>
        <w:strike w:val="0"/>
        <w:color w:val="auto"/>
        <w:position w:val="0"/>
        <w:sz w:val="20"/>
        <w:u w:val="none"/>
        <w:shd w:val="clear" w:color="auto" w:fill="auto"/>
      </w:rPr>
    </w:lvl>
  </w:abstractNum>
  <w:abstractNum w:abstractNumId="10" w15:restartNumberingAfterBreak="0">
    <w:nsid w:val="612920C8"/>
    <w:multiLevelType w:val="singleLevel"/>
    <w:tmpl w:val="AEF4641C"/>
    <w:lvl w:ilvl="0">
      <w:start w:val="1"/>
      <w:numFmt w:val="lowerLetter"/>
      <w:lvlText w:val="%1)"/>
      <w:lvlJc w:val="left"/>
      <w:pPr>
        <w:tabs>
          <w:tab w:val="num" w:pos="720"/>
        </w:tabs>
        <w:ind w:left="720" w:hanging="360"/>
      </w:pPr>
      <w:rPr>
        <w:rFonts w:ascii="Arial" w:eastAsia="Arial" w:hAnsi="Arial" w:hint="default"/>
        <w:b w:val="0"/>
        <w:i w:val="0"/>
        <w:strike w:val="0"/>
        <w:color w:val="auto"/>
        <w:position w:val="0"/>
        <w:sz w:val="20"/>
        <w:u w:val="none"/>
        <w:shd w:val="clear" w:color="auto" w:fill="auto"/>
      </w:rPr>
    </w:lvl>
  </w:abstractNum>
  <w:abstractNum w:abstractNumId="11" w15:restartNumberingAfterBreak="0">
    <w:nsid w:val="616D6C39"/>
    <w:multiLevelType w:val="singleLevel"/>
    <w:tmpl w:val="2E26F3D4"/>
    <w:lvl w:ilvl="0">
      <w:start w:val="1"/>
      <w:numFmt w:val="lowerLetter"/>
      <w:lvlText w:val="%1)"/>
      <w:lvlJc w:val="left"/>
      <w:pPr>
        <w:tabs>
          <w:tab w:val="num" w:pos="720"/>
        </w:tabs>
        <w:ind w:left="720" w:hanging="360"/>
      </w:pPr>
      <w:rPr>
        <w:rFonts w:ascii="Arial" w:eastAsia="Arial" w:hAnsi="Arial" w:hint="default"/>
        <w:b w:val="0"/>
        <w:i w:val="0"/>
        <w:strike w:val="0"/>
        <w:color w:val="auto"/>
        <w:position w:val="0"/>
        <w:sz w:val="20"/>
        <w:u w:val="none"/>
        <w:shd w:val="clear" w:color="auto" w:fill="auto"/>
      </w:rPr>
    </w:lvl>
  </w:abstractNum>
  <w:abstractNum w:abstractNumId="12" w15:restartNumberingAfterBreak="0">
    <w:nsid w:val="6DAA60E1"/>
    <w:multiLevelType w:val="singleLevel"/>
    <w:tmpl w:val="EBACDCC2"/>
    <w:lvl w:ilvl="0">
      <w:start w:val="1"/>
      <w:numFmt w:val="lowerLetter"/>
      <w:lvlText w:val="%1)"/>
      <w:lvlJc w:val="left"/>
      <w:pPr>
        <w:tabs>
          <w:tab w:val="num" w:pos="720"/>
        </w:tabs>
        <w:ind w:left="720" w:hanging="360"/>
      </w:pPr>
      <w:rPr>
        <w:rFonts w:ascii="Arial" w:eastAsia="Arial" w:hAnsi="Arial" w:hint="default"/>
        <w:b w:val="0"/>
        <w:i w:val="0"/>
        <w:strike w:val="0"/>
        <w:color w:val="auto"/>
        <w:position w:val="0"/>
        <w:sz w:val="20"/>
        <w:u w:val="none"/>
        <w:shd w:val="clear" w:color="auto" w:fill="auto"/>
      </w:rPr>
    </w:lvl>
  </w:abstractNum>
  <w:abstractNum w:abstractNumId="13" w15:restartNumberingAfterBreak="0">
    <w:nsid w:val="7D630B5E"/>
    <w:multiLevelType w:val="singleLevel"/>
    <w:tmpl w:val="67B61EBE"/>
    <w:lvl w:ilvl="0">
      <w:start w:val="1"/>
      <w:numFmt w:val="lowerLetter"/>
      <w:lvlText w:val="%1)"/>
      <w:lvlJc w:val="left"/>
      <w:pPr>
        <w:tabs>
          <w:tab w:val="num" w:pos="720"/>
        </w:tabs>
        <w:ind w:left="720" w:hanging="360"/>
      </w:pPr>
      <w:rPr>
        <w:rFonts w:ascii="Arial" w:eastAsia="Arial" w:hAnsi="Arial" w:hint="default"/>
        <w:b w:val="0"/>
        <w:i w:val="0"/>
        <w:strike w:val="0"/>
        <w:color w:val="auto"/>
        <w:position w:val="0"/>
        <w:sz w:val="20"/>
        <w:u w:val="none"/>
        <w:shd w:val="clear" w:color="auto" w:fill="auto"/>
      </w:rPr>
    </w:lvl>
  </w:abstractNum>
  <w:num w:numId="1" w16cid:durableId="1073697947">
    <w:abstractNumId w:val="7"/>
  </w:num>
  <w:num w:numId="2" w16cid:durableId="1936208277">
    <w:abstractNumId w:val="6"/>
  </w:num>
  <w:num w:numId="3" w16cid:durableId="679545872">
    <w:abstractNumId w:val="11"/>
  </w:num>
  <w:num w:numId="4" w16cid:durableId="1842617951">
    <w:abstractNumId w:val="8"/>
  </w:num>
  <w:num w:numId="5" w16cid:durableId="213002977">
    <w:abstractNumId w:val="2"/>
  </w:num>
  <w:num w:numId="6" w16cid:durableId="787819723">
    <w:abstractNumId w:val="13"/>
  </w:num>
  <w:num w:numId="7" w16cid:durableId="1599829353">
    <w:abstractNumId w:val="4"/>
  </w:num>
  <w:num w:numId="8" w16cid:durableId="458229303">
    <w:abstractNumId w:val="0"/>
  </w:num>
  <w:num w:numId="9" w16cid:durableId="1135101239">
    <w:abstractNumId w:val="3"/>
  </w:num>
  <w:num w:numId="10" w16cid:durableId="715086502">
    <w:abstractNumId w:val="9"/>
  </w:num>
  <w:num w:numId="11" w16cid:durableId="1436558463">
    <w:abstractNumId w:val="5"/>
  </w:num>
  <w:num w:numId="12" w16cid:durableId="294995012">
    <w:abstractNumId w:val="10"/>
  </w:num>
  <w:num w:numId="13" w16cid:durableId="1166045713">
    <w:abstractNumId w:val="12"/>
  </w:num>
  <w:num w:numId="14" w16cid:durableId="609432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FDD"/>
    <w:rsid w:val="00296353"/>
    <w:rsid w:val="00C74F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82DF"/>
  <w15:docId w15:val="{5AA55070-3D0A-4382-8A05-28A78CFF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atentStyles>
  <w:style w:type="paragraph" w:default="1" w:styleId="Normal">
    <w:name w:val="Normal"/>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after="160" w:line="259" w:lineRule="auto"/>
    </w:pPr>
    <w:rPr>
      <w:rFonts w:ascii="Calibri" w:eastAsia="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rPr>
  </w:style>
  <w:style w:type="character" w:styleId="Hyperlink">
    <w:name w:val="Hyperlink"/>
    <w:qFormat/>
    <w:rPr>
      <w:color w:val="0563C1"/>
      <w:u w:val="single"/>
    </w:rPr>
  </w:style>
  <w:style w:type="paragraph" w:styleId="ListParagraph">
    <w:name w:val="List Paragraph"/>
    <w:basedOn w:val="Normal"/>
    <w:qFormat/>
    <w:pPr>
      <w:ind w:left="720"/>
    </w:pPr>
  </w:style>
  <w:style w:type="paragraph" w:customStyle="1" w:styleId="TableParagraph">
    <w:name w:val="Table Paragraph"/>
    <w:basedOn w:val="Normal"/>
    <w:qFormat/>
    <w:pPr>
      <w:widowControl w:val="0"/>
      <w:spacing w:after="0" w:line="240" w:lineRule="atLeast"/>
      <w:ind w:left="139"/>
    </w:pPr>
    <w:rPr>
      <w:rFonts w:ascii="Arial" w:eastAsia="Arial" w:hAnsi="Arial"/>
    </w:rPr>
  </w:style>
  <w:style w:type="character" w:customStyle="1" w:styleId="normaltextrun">
    <w:name w:val="normaltextrun"/>
    <w:qFormat/>
  </w:style>
  <w:style w:type="character" w:customStyle="1" w:styleId="eop">
    <w:name w:val="eop"/>
    <w:qFormat/>
  </w:style>
  <w:style w:type="paragraph" w:customStyle="1" w:styleId="paragraph">
    <w:name w:val="paragraph"/>
    <w:basedOn w:val="Normal"/>
    <w:qFormat/>
    <w:pPr>
      <w:spacing w:before="100" w:after="100" w:line="240" w:lineRule="atLeast"/>
    </w:pPr>
    <w:rPr>
      <w:rFonts w:ascii="Times New Roman" w:eastAsia="Times New Roman" w:hAnsi="Times New Roman"/>
      <w:sz w:val="24"/>
    </w:rPr>
  </w:style>
  <w:style w:type="paragraph" w:styleId="Header">
    <w:name w:val="header"/>
    <w:basedOn w:val="Normal"/>
    <w:qFormat/>
    <w:pPr>
      <w:tabs>
        <w:tab w:val="center" w:pos="4513"/>
        <w:tab w:val="right" w:pos="9026"/>
      </w:tabs>
      <w:spacing w:after="0" w:line="240" w:lineRule="atLeast"/>
    </w:pPr>
  </w:style>
  <w:style w:type="paragraph" w:styleId="Footer">
    <w:name w:val="footer"/>
    <w:basedOn w:val="Normal"/>
    <w:qFormat/>
    <w:pPr>
      <w:tabs>
        <w:tab w:val="center" w:pos="4513"/>
        <w:tab w:val="right" w:pos="9026"/>
      </w:tabs>
      <w:spacing w:after="0" w:line="240" w:lineRule="atLeast"/>
    </w:pPr>
  </w:style>
  <w:style w:type="paragraph" w:styleId="FootnoteText">
    <w:name w:val="footnote text"/>
    <w:basedOn w:val="Normal"/>
    <w:qFormat/>
    <w:pPr>
      <w:spacing w:after="0" w:line="240" w:lineRule="atLeast"/>
    </w:pPr>
    <w:rPr>
      <w:sz w:val="20"/>
    </w:rPr>
  </w:style>
  <w:style w:type="character" w:customStyle="1" w:styleId="FootnoteTextChar">
    <w:name w:val="Footnote Text Char"/>
    <w:qFormat/>
    <w:rPr>
      <w:sz w:val="20"/>
    </w:rPr>
  </w:style>
  <w:style w:type="paragraph" w:styleId="CommentText">
    <w:name w:val="annotation text"/>
    <w:basedOn w:val="Normal"/>
    <w:qFormat/>
    <w:pPr>
      <w:spacing w:line="240" w:lineRule="atLeast"/>
    </w:pPr>
    <w:rPr>
      <w:sz w:val="20"/>
    </w:rPr>
  </w:style>
  <w:style w:type="paragraph" w:styleId="CommentSubject">
    <w:name w:val="annotation subject"/>
    <w:basedOn w:val="CommentText"/>
    <w:qFormat/>
    <w:rPr>
      <w:b/>
    </w:rPr>
  </w:style>
  <w:style w:type="character" w:customStyle="1" w:styleId="CommentTextChar">
    <w:name w:val="Comment Text Char"/>
    <w:qFormat/>
    <w:rPr>
      <w:sz w:val="20"/>
    </w:rPr>
  </w:style>
  <w:style w:type="character" w:customStyle="1" w:styleId="CommentSubjectChar">
    <w:name w:val="Comment Subject Char"/>
    <w:basedOn w:val="CommentTextChar"/>
    <w:qFormat/>
    <w:rPr>
      <w:b/>
      <w:sz w:val="20"/>
    </w:rPr>
  </w:style>
  <w:style w:type="character" w:styleId="CommentReference">
    <w:name w:val="annotation reference"/>
    <w:qFormat/>
    <w:rPr>
      <w:sz w:val="16"/>
    </w:rPr>
  </w:style>
  <w:style w:type="character" w:styleId="UnresolvedMention">
    <w:name w:val="Unresolved Mention"/>
    <w:qFormat/>
    <w:rPr>
      <w:color w:val="605E5C"/>
      <w:shd w:val="clear" w:color="auto" w:fill="C0C0C0"/>
    </w:rPr>
  </w:style>
  <w:style w:type="character" w:styleId="Mention">
    <w:name w:val="Mention"/>
    <w:qFormat/>
    <w:rPr>
      <w:color w:val="2B579A"/>
      <w:shd w:val="clear" w:color="auto" w:fill="C0C0C0"/>
    </w:rPr>
  </w:style>
  <w:style w:type="character" w:customStyle="1" w:styleId="HeaderChar">
    <w:name w:val="Header Char"/>
    <w:qFormat/>
  </w:style>
  <w:style w:type="character" w:customStyle="1" w:styleId="FooterChar">
    <w:name w:val="Footer Char"/>
    <w:qFormat/>
  </w:style>
  <w:style w:type="character" w:styleId="FootnoteReference">
    <w:name w:val="footnote reference"/>
    <w:qFormat/>
    <w:rPr>
      <w:position w:val="6"/>
    </w:rPr>
  </w:style>
  <w:style w:type="paragraph" w:styleId="Revision">
    <w:name w:val="Revision"/>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alibri" w:eastAsia="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fr4npo.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ifr4npo@cipfa.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ifr4npo.org" TargetMode="External"/><Relationship Id="rId11" Type="http://schemas.openxmlformats.org/officeDocument/2006/relationships/theme" Target="theme/theme1.xml"/><Relationship Id="rId5" Type="http://schemas.openxmlformats.org/officeDocument/2006/relationships/hyperlink" Target="http://www.ifr4npo.org/ed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FR4NPO@cipfa.org"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ke0e64bf28f24d0c8d14e5a9353d52d1 xmlns="b5622043-84c9-419c-8675-e1f96a728305">
      <Terms xmlns="http://schemas.microsoft.com/office/infopath/2007/PartnerControls"/>
    </ke0e64bf28f24d0c8d14e5a9353d52d1>
    <lcf76f155ced4ddcb4097134ff3c332f xmlns="b5622043-84c9-419c-8675-e1f96a728305">
      <Terms xmlns="http://schemas.microsoft.com/office/infopath/2007/PartnerControls"/>
    </lcf76f155ced4ddcb4097134ff3c332f>
    <TaxCatchAll xmlns="f387e043-b8b7-437b-a681-ae3ddade6802" xsi:nil="true"/>
  </documentManagement>
</p:properties>
</file>

<file path=customXml/itemProps1.xml><?xml version="1.0" encoding="utf-8"?>
<ds:datastoreItem xmlns:ds="http://schemas.openxmlformats.org/officeDocument/2006/customXml" ds:itemID="{AF7A4D15-5174-4181-BC22-2FCE0E818F70}"/>
</file>

<file path=customXml/itemProps2.xml><?xml version="1.0" encoding="utf-8"?>
<ds:datastoreItem xmlns:ds="http://schemas.openxmlformats.org/officeDocument/2006/customXml" ds:itemID="{0A5B315B-CC37-4474-9792-DDD955DCB89E}"/>
</file>

<file path=customXml/itemProps3.xml><?xml version="1.0" encoding="utf-8"?>
<ds:datastoreItem xmlns:ds="http://schemas.openxmlformats.org/officeDocument/2006/customXml" ds:itemID="{95618163-3FC9-42A0-93EB-82DD1AF21AA0}"/>
</file>

<file path=docProps/app.xml><?xml version="1.0" encoding="utf-8"?>
<Properties xmlns="http://schemas.openxmlformats.org/officeDocument/2006/extended-properties" xmlns:vt="http://schemas.openxmlformats.org/officeDocument/2006/docPropsVTypes">
  <Template>Normal</Template>
  <TotalTime>1</TotalTime>
  <Pages>4</Pages>
  <Words>2655</Words>
  <Characters>15138</Characters>
  <Application>Microsoft Office Word</Application>
  <DocSecurity>4</DocSecurity>
  <Lines>126</Lines>
  <Paragraphs>35</Paragraphs>
  <ScaleCrop>false</ScaleCrop>
  <Company/>
  <LinksUpToDate>false</LinksUpToDate>
  <CharactersWithSpaces>17758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Musoke</dc:creator>
  <cp:lastModifiedBy>Samantha Musoke</cp:lastModifiedBy>
  <cp:revision>2</cp:revision>
  <dcterms:created xsi:type="dcterms:W3CDTF">2024-04-05T10:28:00Z</dcterms:created>
  <dcterms:modified xsi:type="dcterms:W3CDTF">2024-04-05T10:28:00Z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ies>
</file>