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F2AD" w14:textId="1D72EF04" w:rsidR="000173E8" w:rsidRDefault="000173E8" w:rsidP="00A84272">
      <w:pPr>
        <w:pStyle w:val="NoSpacing"/>
        <w:rPr>
          <w:b/>
          <w:bCs/>
          <w:sz w:val="36"/>
          <w:szCs w:val="36"/>
          <w:lang w:val="en-US"/>
        </w:rPr>
      </w:pPr>
    </w:p>
    <w:p w14:paraId="5D483F9F" w14:textId="37BDA86E" w:rsidR="000173E8" w:rsidRDefault="000173E8" w:rsidP="00A84272">
      <w:pPr>
        <w:pStyle w:val="NoSpacing"/>
        <w:rPr>
          <w:b/>
          <w:bCs/>
          <w:sz w:val="36"/>
          <w:szCs w:val="36"/>
          <w:lang w:val="en-US"/>
        </w:rPr>
      </w:pPr>
    </w:p>
    <w:p w14:paraId="01F34C7F" w14:textId="3FDA9208" w:rsidR="000173E8" w:rsidRDefault="000173E8" w:rsidP="00A84272">
      <w:pPr>
        <w:pStyle w:val="NoSpacing"/>
        <w:rPr>
          <w:b/>
          <w:bCs/>
          <w:sz w:val="36"/>
          <w:szCs w:val="36"/>
          <w:lang w:val="en-US"/>
        </w:rPr>
      </w:pPr>
      <w:r>
        <w:rPr>
          <w:noProof/>
        </w:rPr>
        <w:drawing>
          <wp:anchor distT="0" distB="0" distL="114300" distR="114300" simplePos="0" relativeHeight="251659264" behindDoc="0" locked="0" layoutInCell="1" allowOverlap="1" wp14:anchorId="183EBA79" wp14:editId="57D27412">
            <wp:simplePos x="0" y="0"/>
            <wp:positionH relativeFrom="margin">
              <wp:posOffset>2148840</wp:posOffset>
            </wp:positionH>
            <wp:positionV relativeFrom="margin">
              <wp:posOffset>565785</wp:posOffset>
            </wp:positionV>
            <wp:extent cx="3832860" cy="1697355"/>
            <wp:effectExtent l="0" t="0" r="0" b="0"/>
            <wp:wrapSquare wrapText="bothSides"/>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2860" cy="169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75474" w14:textId="2EA30A9A" w:rsidR="000173E8" w:rsidRDefault="000173E8" w:rsidP="00A84272">
      <w:pPr>
        <w:pStyle w:val="NoSpacing"/>
        <w:rPr>
          <w:b/>
          <w:bCs/>
          <w:sz w:val="36"/>
          <w:szCs w:val="36"/>
          <w:lang w:val="en-US"/>
        </w:rPr>
      </w:pPr>
    </w:p>
    <w:p w14:paraId="6842E497" w14:textId="77777777" w:rsidR="000173E8" w:rsidRDefault="000173E8" w:rsidP="00A84272">
      <w:pPr>
        <w:pStyle w:val="NoSpacing"/>
        <w:rPr>
          <w:b/>
          <w:bCs/>
          <w:sz w:val="36"/>
          <w:szCs w:val="36"/>
          <w:lang w:val="en-US"/>
        </w:rPr>
      </w:pPr>
    </w:p>
    <w:p w14:paraId="0592FF18" w14:textId="7350F0D7" w:rsidR="000173E8" w:rsidRDefault="000173E8" w:rsidP="00A84272">
      <w:pPr>
        <w:pStyle w:val="NoSpacing"/>
        <w:rPr>
          <w:b/>
          <w:bCs/>
          <w:sz w:val="36"/>
          <w:szCs w:val="36"/>
          <w:lang w:val="en-US"/>
        </w:rPr>
      </w:pPr>
    </w:p>
    <w:p w14:paraId="03345FFF" w14:textId="0B535EBB" w:rsidR="000173E8" w:rsidRDefault="000173E8" w:rsidP="00A84272">
      <w:pPr>
        <w:pStyle w:val="NoSpacing"/>
        <w:rPr>
          <w:b/>
          <w:bCs/>
          <w:sz w:val="36"/>
          <w:szCs w:val="36"/>
          <w:lang w:val="en-US"/>
        </w:rPr>
      </w:pPr>
    </w:p>
    <w:p w14:paraId="1865DC0B" w14:textId="77777777" w:rsidR="000173E8" w:rsidRDefault="000173E8" w:rsidP="00A84272">
      <w:pPr>
        <w:pStyle w:val="NoSpacing"/>
        <w:rPr>
          <w:b/>
          <w:bCs/>
          <w:sz w:val="36"/>
          <w:szCs w:val="36"/>
          <w:lang w:val="en-US"/>
        </w:rPr>
      </w:pPr>
    </w:p>
    <w:p w14:paraId="2385B5C9" w14:textId="77777777" w:rsidR="000173E8" w:rsidRDefault="000173E8" w:rsidP="00A84272">
      <w:pPr>
        <w:pStyle w:val="NoSpacing"/>
        <w:rPr>
          <w:b/>
          <w:bCs/>
          <w:sz w:val="36"/>
          <w:szCs w:val="36"/>
          <w:lang w:val="en-US"/>
        </w:rPr>
      </w:pPr>
    </w:p>
    <w:p w14:paraId="7EC04F67" w14:textId="77777777" w:rsidR="000173E8" w:rsidRDefault="000173E8" w:rsidP="00A84272">
      <w:pPr>
        <w:pStyle w:val="NoSpacing"/>
        <w:rPr>
          <w:b/>
          <w:bCs/>
          <w:sz w:val="36"/>
          <w:szCs w:val="36"/>
          <w:lang w:val="en-US"/>
        </w:rPr>
      </w:pPr>
    </w:p>
    <w:p w14:paraId="1CFF029D" w14:textId="77777777" w:rsidR="000173E8" w:rsidRDefault="000173E8" w:rsidP="00A84272">
      <w:pPr>
        <w:pStyle w:val="NoSpacing"/>
        <w:rPr>
          <w:b/>
          <w:bCs/>
          <w:sz w:val="36"/>
          <w:szCs w:val="36"/>
          <w:lang w:val="en-US"/>
        </w:rPr>
      </w:pPr>
    </w:p>
    <w:p w14:paraId="7477AD5B" w14:textId="32B320D3" w:rsidR="005247D7" w:rsidRPr="00865687" w:rsidRDefault="005247D7" w:rsidP="000173E8">
      <w:pPr>
        <w:pStyle w:val="NoSpacing"/>
        <w:jc w:val="center"/>
        <w:rPr>
          <w:rFonts w:ascii="Open Sans" w:hAnsi="Open Sans" w:cs="Open Sans"/>
          <w:b/>
          <w:bCs/>
          <w:sz w:val="36"/>
          <w:szCs w:val="36"/>
          <w:lang w:val="en-US"/>
        </w:rPr>
      </w:pPr>
      <w:r w:rsidRPr="00865687">
        <w:rPr>
          <w:rFonts w:ascii="Open Sans" w:hAnsi="Open Sans" w:cs="Open Sans"/>
          <w:b/>
          <w:bCs/>
          <w:sz w:val="36"/>
          <w:szCs w:val="36"/>
          <w:lang w:val="en-US"/>
        </w:rPr>
        <w:t>International Non-profit Accounting Guidance (INPAG)</w:t>
      </w:r>
    </w:p>
    <w:p w14:paraId="6B58ECB1" w14:textId="0C4AC766" w:rsidR="009F74AC" w:rsidRPr="00865687" w:rsidRDefault="005247D7" w:rsidP="000173E8">
      <w:pPr>
        <w:jc w:val="center"/>
        <w:rPr>
          <w:rFonts w:ascii="Open Sans" w:hAnsi="Open Sans" w:cs="Open Sans"/>
          <w:b/>
          <w:bCs/>
          <w:sz w:val="28"/>
          <w:szCs w:val="28"/>
          <w:lang w:val="en-US"/>
        </w:rPr>
      </w:pPr>
      <w:r w:rsidRPr="00865687">
        <w:rPr>
          <w:rFonts w:ascii="Open Sans" w:hAnsi="Open Sans" w:cs="Open Sans"/>
          <w:b/>
          <w:bCs/>
          <w:sz w:val="28"/>
          <w:szCs w:val="28"/>
          <w:lang w:val="en-US"/>
        </w:rPr>
        <w:t xml:space="preserve">Exposure Draft </w:t>
      </w:r>
      <w:r w:rsidR="001033BB" w:rsidRPr="00865687">
        <w:rPr>
          <w:rFonts w:ascii="Open Sans" w:hAnsi="Open Sans" w:cs="Open Sans"/>
          <w:b/>
          <w:bCs/>
          <w:sz w:val="28"/>
          <w:szCs w:val="28"/>
          <w:lang w:val="en-US"/>
        </w:rPr>
        <w:t>2</w:t>
      </w:r>
    </w:p>
    <w:p w14:paraId="2BD05A6A" w14:textId="73295D7C" w:rsidR="000173E8" w:rsidRDefault="000173E8" w:rsidP="000173E8">
      <w:pPr>
        <w:jc w:val="center"/>
        <w:rPr>
          <w:rFonts w:ascii="Open Sans" w:hAnsi="Open Sans" w:cs="Open Sans"/>
          <w:b/>
          <w:bCs/>
          <w:sz w:val="28"/>
          <w:szCs w:val="28"/>
          <w:lang w:val="en-US"/>
        </w:rPr>
      </w:pPr>
    </w:p>
    <w:p w14:paraId="2D7D4D97" w14:textId="77777777" w:rsidR="000173E8" w:rsidRDefault="000173E8" w:rsidP="000173E8">
      <w:pPr>
        <w:jc w:val="center"/>
        <w:rPr>
          <w:rFonts w:ascii="Open Sans" w:hAnsi="Open Sans" w:cs="Open Sans"/>
          <w:b/>
          <w:bCs/>
          <w:sz w:val="28"/>
          <w:szCs w:val="28"/>
          <w:lang w:val="en-US"/>
        </w:rPr>
      </w:pP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6E324E01" w:rsidR="00F6667F" w:rsidRPr="00EB6705" w:rsidRDefault="009A0502">
            <w:pPr>
              <w:rPr>
                <w:rFonts w:ascii="Open Sans" w:hAnsi="Open Sans" w:cs="Open Sans"/>
                <w:sz w:val="20"/>
                <w:szCs w:val="20"/>
              </w:rPr>
            </w:pPr>
            <w:r>
              <w:rPr>
                <w:rFonts w:ascii="Open Sans" w:hAnsi="Open Sans" w:cs="Open Sans"/>
                <w:sz w:val="20"/>
                <w:szCs w:val="20"/>
              </w:rPr>
              <w:t>Sunday</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241FE03B" w:rsidR="00F6667F" w:rsidRPr="00EB6705" w:rsidRDefault="000173E8">
            <w:pPr>
              <w:rPr>
                <w:rFonts w:ascii="Open Sans" w:hAnsi="Open Sans" w:cs="Open Sans"/>
                <w:sz w:val="20"/>
                <w:szCs w:val="20"/>
              </w:rPr>
            </w:pPr>
            <w:r w:rsidRPr="00580D3B">
              <w:rPr>
                <w:rFonts w:ascii="Open Sans" w:hAnsi="Open Sans" w:cs="Open Sans"/>
                <w:sz w:val="20"/>
                <w:szCs w:val="20"/>
              </w:rPr>
              <w:t>Institute of Certified Public Accountants of Rwanda</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1AE7814A" w:rsidR="00DB7739" w:rsidRPr="00EB6705" w:rsidRDefault="009A0502">
            <w:pPr>
              <w:rPr>
                <w:rFonts w:ascii="Open Sans" w:hAnsi="Open Sans" w:cs="Open Sans"/>
                <w:sz w:val="20"/>
                <w:szCs w:val="20"/>
              </w:rPr>
            </w:pPr>
            <w:r>
              <w:rPr>
                <w:rFonts w:ascii="Open Sans" w:hAnsi="Open Sans" w:cs="Open Sans"/>
                <w:sz w:val="20"/>
                <w:szCs w:val="20"/>
              </w:rPr>
              <w:t>Kalisa</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385DDBA9" w:rsidR="00DB7739" w:rsidRPr="00EB6705" w:rsidRDefault="000173E8">
            <w:pPr>
              <w:rPr>
                <w:rFonts w:ascii="Open Sans" w:hAnsi="Open Sans" w:cs="Open Sans"/>
                <w:sz w:val="20"/>
                <w:szCs w:val="20"/>
              </w:rPr>
            </w:pPr>
            <w:r w:rsidRPr="00BA2063">
              <w:rPr>
                <w:rFonts w:ascii="Open Sans" w:hAnsi="Open Sans" w:cs="Open Sans"/>
                <w:sz w:val="20"/>
                <w:szCs w:val="20"/>
              </w:rPr>
              <w:t>on behalf of my organisation</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4DE0462C" w:rsidR="000C4E37" w:rsidRDefault="000173E8" w:rsidP="000C4E37">
            <w:pPr>
              <w:rPr>
                <w:rFonts w:ascii="Open Sans" w:hAnsi="Open Sans" w:cs="Open Sans"/>
                <w:sz w:val="20"/>
                <w:szCs w:val="20"/>
              </w:rPr>
            </w:pPr>
            <w:r>
              <w:rPr>
                <w:rFonts w:ascii="Open Sans" w:hAnsi="Open Sans" w:cs="Open Sans"/>
                <w:sz w:val="20"/>
                <w:szCs w:val="20"/>
              </w:rPr>
              <w:t>Sunday.kalisa@icparwanda.com</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238737B3" w:rsidR="000C4E37" w:rsidRPr="00EB6705" w:rsidRDefault="000173E8" w:rsidP="000C4E37">
            <w:pPr>
              <w:rPr>
                <w:rFonts w:ascii="Open Sans" w:hAnsi="Open Sans" w:cs="Open Sans"/>
                <w:sz w:val="20"/>
                <w:szCs w:val="20"/>
              </w:rPr>
            </w:pPr>
            <w:r>
              <w:rPr>
                <w:rFonts w:ascii="Open Sans" w:hAnsi="Open Sans" w:cs="Open Sans"/>
                <w:sz w:val="20"/>
                <w:szCs w:val="20"/>
              </w:rPr>
              <w:t>Rwanda</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4AAA2C49" w:rsidR="000C4E37" w:rsidRPr="00EB6705" w:rsidRDefault="000173E8" w:rsidP="000C4E37">
            <w:pPr>
              <w:rPr>
                <w:rFonts w:ascii="Open Sans" w:hAnsi="Open Sans" w:cs="Open Sans"/>
                <w:sz w:val="20"/>
                <w:szCs w:val="20"/>
              </w:rPr>
            </w:pPr>
            <w:r>
              <w:rPr>
                <w:rFonts w:ascii="Open Sans" w:hAnsi="Open Sans" w:cs="Open Sans"/>
                <w:sz w:val="20"/>
                <w:szCs w:val="20"/>
              </w:rPr>
              <w:t>Director, Professional Development Services</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644008AE" w:rsidR="000C4E37" w:rsidRPr="00EB6705" w:rsidRDefault="006326DC" w:rsidP="000C4E37">
            <w:pPr>
              <w:rPr>
                <w:rFonts w:ascii="Open Sans" w:hAnsi="Open Sans" w:cs="Open Sans"/>
                <w:sz w:val="20"/>
                <w:szCs w:val="20"/>
              </w:rPr>
            </w:pPr>
            <w:r>
              <w:rPr>
                <w:rFonts w:ascii="Open Sans" w:hAnsi="Open Sans" w:cs="Open Sans"/>
                <w:sz w:val="20"/>
                <w:szCs w:val="20"/>
              </w:rPr>
              <w:t>Country Champion, and P</w:t>
            </w:r>
            <w:r w:rsidRPr="00BA2063">
              <w:rPr>
                <w:rFonts w:ascii="Open Sans" w:hAnsi="Open Sans" w:cs="Open Sans"/>
                <w:sz w:val="20"/>
                <w:szCs w:val="20"/>
              </w:rPr>
              <w:t xml:space="preserve">rofessional </w:t>
            </w:r>
            <w:r>
              <w:rPr>
                <w:rFonts w:ascii="Open Sans" w:hAnsi="Open Sans" w:cs="Open Sans"/>
                <w:sz w:val="20"/>
                <w:szCs w:val="20"/>
              </w:rPr>
              <w:t>A</w:t>
            </w:r>
            <w:r w:rsidRPr="00BA2063">
              <w:rPr>
                <w:rFonts w:ascii="Open Sans" w:hAnsi="Open Sans" w:cs="Open Sans"/>
                <w:sz w:val="20"/>
                <w:szCs w:val="20"/>
              </w:rPr>
              <w:t xml:space="preserve">ccounting </w:t>
            </w:r>
            <w:r>
              <w:rPr>
                <w:rFonts w:ascii="Open Sans" w:hAnsi="Open Sans" w:cs="Open Sans"/>
                <w:sz w:val="20"/>
                <w:szCs w:val="20"/>
              </w:rPr>
              <w:t>O</w:t>
            </w:r>
            <w:r w:rsidRPr="00BA2063">
              <w:rPr>
                <w:rFonts w:ascii="Open Sans" w:hAnsi="Open Sans" w:cs="Open Sans"/>
                <w:sz w:val="20"/>
                <w:szCs w:val="20"/>
              </w:rPr>
              <w:t>rganisation</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lastRenderedPageBreak/>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0FC67675"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r w:rsidR="009D6277">
              <w:rPr>
                <w:rFonts w:ascii="Open Sans" w:hAnsi="Open Sans" w:cs="Open Sans"/>
                <w:bCs/>
                <w:noProof/>
                <w:color w:val="000000"/>
                <w:sz w:val="20"/>
                <w:szCs w:val="20"/>
              </w:rPr>
              <w:drawing>
                <wp:inline distT="0" distB="0" distL="0" distR="0" wp14:anchorId="4BBB32DB" wp14:editId="5FA7344C">
                  <wp:extent cx="251460" cy="25146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0F78B441" w:rsidR="00A7789F" w:rsidRPr="0058046C" w:rsidRDefault="004F6887" w:rsidP="00A959C4">
            <w:pPr>
              <w:jc w:val="both"/>
              <w:rPr>
                <w:rFonts w:ascii="Open Sans" w:hAnsi="Open Sans" w:cs="Open Sans"/>
                <w:sz w:val="20"/>
                <w:szCs w:val="20"/>
                <w:lang w:val="en-US"/>
              </w:rPr>
            </w:pPr>
            <w:r w:rsidRPr="0058046C">
              <w:rPr>
                <w:rFonts w:ascii="Open Sans" w:hAnsi="Open Sans" w:cs="Open Sans"/>
                <w:sz w:val="20"/>
                <w:szCs w:val="20"/>
                <w:lang w:val="en-US"/>
              </w:rPr>
              <w:t>We do agree with the proposal since the changes made are mainly editorial</w:t>
            </w:r>
            <w:r w:rsidR="007D4C2B">
              <w:rPr>
                <w:rFonts w:ascii="Open Sans" w:hAnsi="Open Sans" w:cs="Open Sans"/>
                <w:sz w:val="20"/>
                <w:szCs w:val="20"/>
                <w:lang w:val="en-US"/>
              </w:rPr>
              <w:t xml:space="preserve"> in nature.</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E84D83" w:rsidRPr="00EB6705" w14:paraId="6864AC12" w14:textId="77777777" w:rsidTr="0044162B">
        <w:trPr>
          <w:trHeight w:val="283"/>
        </w:trPr>
        <w:tc>
          <w:tcPr>
            <w:tcW w:w="4349" w:type="dxa"/>
            <w:vAlign w:val="center"/>
          </w:tcPr>
          <w:p w14:paraId="7D97A24B" w14:textId="729B22CA" w:rsidR="00E84D83" w:rsidRPr="00661242" w:rsidRDefault="00E84D83" w:rsidP="00E84D83">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t>
            </w:r>
            <w:r>
              <w:rPr>
                <w:rFonts w:ascii="Open Sans" w:hAnsi="Open Sans" w:cs="Open Sans"/>
                <w:sz w:val="20"/>
                <w:szCs w:val="20"/>
              </w:rPr>
              <w:t xml:space="preserve">with the expansion of Section 13 </w:t>
            </w:r>
            <w:r w:rsidRPr="00A67B7A">
              <w:rPr>
                <w:rFonts w:ascii="Open Sans" w:hAnsi="Open Sans" w:cs="Open Sans"/>
                <w:i/>
                <w:iCs/>
                <w:sz w:val="20"/>
                <w:szCs w:val="20"/>
              </w:rPr>
              <w:t>Inventories</w:t>
            </w:r>
            <w:r>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E84D83" w:rsidRPr="00221A16" w:rsidRDefault="00E84D83" w:rsidP="00E84D83">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tcPr>
          <w:p w14:paraId="76DF1CE6" w14:textId="388414C7" w:rsidR="00E84D83" w:rsidRPr="006E677C" w:rsidRDefault="00E84D83" w:rsidP="00E84D83">
            <w:pPr>
              <w:spacing w:before="120" w:after="120"/>
              <w:rPr>
                <w:rFonts w:ascii="Open Sans" w:hAnsi="Open Sans" w:cs="Open Sans"/>
                <w:sz w:val="20"/>
                <w:szCs w:val="20"/>
                <w:lang w:val="en-US"/>
              </w:rPr>
            </w:pPr>
            <w:r w:rsidRPr="006E677C">
              <w:rPr>
                <w:rFonts w:ascii="Open Sans" w:hAnsi="Open Sans" w:cs="Open Sans"/>
                <w:sz w:val="20"/>
                <w:szCs w:val="20"/>
                <w:lang w:val="en-US"/>
              </w:rPr>
              <w:t xml:space="preserve">We do agree with the proposal since all inventories held by an NPO may not specifically be for </w:t>
            </w:r>
            <w:r w:rsidR="00BE3867" w:rsidRPr="006E677C">
              <w:rPr>
                <w:rFonts w:ascii="Open Sans" w:hAnsi="Open Sans" w:cs="Open Sans"/>
                <w:sz w:val="20"/>
                <w:szCs w:val="20"/>
                <w:lang w:val="en-US"/>
              </w:rPr>
              <w:t>sale or related activity.</w:t>
            </w:r>
          </w:p>
        </w:tc>
      </w:tr>
      <w:tr w:rsidR="00E84D83" w:rsidRPr="00EB6705" w14:paraId="7017F369" w14:textId="4D678862" w:rsidTr="00B14710">
        <w:tc>
          <w:tcPr>
            <w:tcW w:w="4349" w:type="dxa"/>
          </w:tcPr>
          <w:p w14:paraId="36EE53F7" w14:textId="0CD5BAD2" w:rsidR="00E84D83" w:rsidRPr="00EB6705" w:rsidRDefault="00E84D83" w:rsidP="00E84D83">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the permitted exceptions that allow for certain donated inventories and work in-progress that comprises services to be provided for no or nominal consideration to not be recognised as inventory? If not, what would you propose </w:t>
            </w:r>
            <w:r w:rsidR="00392504">
              <w:rPr>
                <w:rFonts w:ascii="Open Sans" w:hAnsi="Open Sans" w:cs="Open Sans"/>
                <w:sz w:val="20"/>
                <w:szCs w:val="20"/>
              </w:rPr>
              <w:t>instead?</w:t>
            </w:r>
          </w:p>
        </w:tc>
        <w:tc>
          <w:tcPr>
            <w:tcW w:w="1790" w:type="dxa"/>
          </w:tcPr>
          <w:p w14:paraId="1F6A89A8" w14:textId="7F32A442" w:rsidR="00E84D83" w:rsidRPr="00EB6705" w:rsidRDefault="00E84D83" w:rsidP="00E84D83">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3E1DF3E1" w:rsidR="00E84D83" w:rsidRPr="006E677C" w:rsidRDefault="00E84D83" w:rsidP="00E84D83">
            <w:pPr>
              <w:spacing w:before="120" w:after="120"/>
              <w:rPr>
                <w:rFonts w:ascii="Open Sans" w:hAnsi="Open Sans" w:cs="Open Sans"/>
                <w:sz w:val="20"/>
                <w:szCs w:val="20"/>
                <w:lang w:val="en-US"/>
              </w:rPr>
            </w:pPr>
            <w:r w:rsidRPr="006E677C">
              <w:rPr>
                <w:rFonts w:ascii="Open Sans" w:hAnsi="Open Sans" w:cs="Open Sans"/>
                <w:sz w:val="20"/>
                <w:szCs w:val="20"/>
                <w:lang w:val="en-US"/>
              </w:rPr>
              <w:t>We do agree with the proposal</w:t>
            </w:r>
            <w:r w:rsidR="006E677C">
              <w:rPr>
                <w:rFonts w:ascii="Open Sans" w:hAnsi="Open Sans" w:cs="Open Sans"/>
                <w:sz w:val="20"/>
                <w:szCs w:val="20"/>
                <w:lang w:val="en-US"/>
              </w:rPr>
              <w:t>.</w:t>
            </w:r>
          </w:p>
        </w:tc>
      </w:tr>
      <w:tr w:rsidR="00E84D83" w:rsidRPr="00EB6705" w14:paraId="3542394B" w14:textId="77777777" w:rsidTr="00B14710">
        <w:tc>
          <w:tcPr>
            <w:tcW w:w="4349" w:type="dxa"/>
          </w:tcPr>
          <w:p w14:paraId="76A3E460" w14:textId="14ABF000" w:rsidR="00E84D83" w:rsidRDefault="00E84D83" w:rsidP="00E84D83">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E84D83" w:rsidRDefault="00E84D83" w:rsidP="00E84D83">
            <w:pPr>
              <w:rPr>
                <w:rFonts w:ascii="Open Sans" w:hAnsi="Open Sans" w:cs="Open Sans"/>
                <w:sz w:val="20"/>
                <w:szCs w:val="20"/>
              </w:rPr>
            </w:pPr>
            <w:r>
              <w:rPr>
                <w:rFonts w:ascii="Open Sans" w:hAnsi="Open Sans" w:cs="Open Sans"/>
                <w:sz w:val="20"/>
                <w:szCs w:val="20"/>
              </w:rPr>
              <w:t>G13.7</w:t>
            </w:r>
          </w:p>
        </w:tc>
        <w:tc>
          <w:tcPr>
            <w:tcW w:w="8173" w:type="dxa"/>
          </w:tcPr>
          <w:p w14:paraId="430516A3" w14:textId="003B52C9" w:rsidR="00E84D83" w:rsidRPr="000424DB" w:rsidRDefault="00E84D83" w:rsidP="000424DB">
            <w:pPr>
              <w:spacing w:before="120" w:after="120"/>
              <w:jc w:val="both"/>
              <w:rPr>
                <w:rFonts w:ascii="Open Sans" w:hAnsi="Open Sans" w:cs="Open Sans"/>
                <w:sz w:val="20"/>
                <w:szCs w:val="20"/>
                <w:lang w:val="en-US"/>
              </w:rPr>
            </w:pPr>
            <w:r w:rsidRPr="000424DB">
              <w:rPr>
                <w:rFonts w:ascii="Open Sans" w:hAnsi="Open Sans" w:cs="Open Sans"/>
                <w:sz w:val="20"/>
                <w:szCs w:val="20"/>
                <w:lang w:val="en-US"/>
              </w:rPr>
              <w:t xml:space="preserve">We do agree with the proposal </w:t>
            </w:r>
            <w:r w:rsidR="00392504" w:rsidRPr="000424DB">
              <w:rPr>
                <w:rFonts w:ascii="Open Sans" w:hAnsi="Open Sans" w:cs="Open Sans"/>
                <w:sz w:val="20"/>
                <w:szCs w:val="20"/>
                <w:lang w:val="en-US"/>
              </w:rPr>
              <w:t xml:space="preserve">with no known inventory cost and the recipient </w:t>
            </w:r>
            <w:r w:rsidR="00973434" w:rsidRPr="000424DB">
              <w:rPr>
                <w:rFonts w:ascii="Open Sans" w:hAnsi="Open Sans" w:cs="Open Sans"/>
                <w:sz w:val="20"/>
                <w:szCs w:val="20"/>
                <w:lang w:val="en-US"/>
              </w:rPr>
              <w:t>need</w:t>
            </w:r>
            <w:r w:rsidR="00392504" w:rsidRPr="000424DB">
              <w:rPr>
                <w:rFonts w:ascii="Open Sans" w:hAnsi="Open Sans" w:cs="Open Sans"/>
                <w:sz w:val="20"/>
                <w:szCs w:val="20"/>
                <w:lang w:val="en-US"/>
              </w:rPr>
              <w:t xml:space="preserve"> to have a value to record donated inventory; fair value appears fair enough.</w:t>
            </w:r>
          </w:p>
        </w:tc>
      </w:tr>
      <w:tr w:rsidR="00E84D83" w:rsidRPr="00EB6705" w14:paraId="68121CA0" w14:textId="77777777" w:rsidTr="00B14710">
        <w:tc>
          <w:tcPr>
            <w:tcW w:w="4349" w:type="dxa"/>
          </w:tcPr>
          <w:p w14:paraId="2D533C32" w14:textId="6A91E0A9" w:rsidR="00E84D83" w:rsidRPr="00374B59" w:rsidRDefault="00E84D83" w:rsidP="00E84D83">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E84D83" w:rsidRDefault="00E84D83" w:rsidP="00E84D83">
            <w:pPr>
              <w:rPr>
                <w:rFonts w:ascii="Open Sans" w:hAnsi="Open Sans" w:cs="Open Sans"/>
                <w:sz w:val="20"/>
                <w:szCs w:val="20"/>
              </w:rPr>
            </w:pPr>
            <w:r>
              <w:rPr>
                <w:rFonts w:ascii="Open Sans" w:hAnsi="Open Sans" w:cs="Open Sans"/>
                <w:sz w:val="20"/>
                <w:szCs w:val="20"/>
              </w:rPr>
              <w:t>G13.8</w:t>
            </w:r>
          </w:p>
        </w:tc>
        <w:tc>
          <w:tcPr>
            <w:tcW w:w="8173" w:type="dxa"/>
          </w:tcPr>
          <w:p w14:paraId="43F34E5D" w14:textId="7EE3A9FB" w:rsidR="00E84D83" w:rsidRPr="000424DB" w:rsidRDefault="00E84D83" w:rsidP="00E84D83">
            <w:pPr>
              <w:spacing w:before="120" w:after="120"/>
              <w:rPr>
                <w:rFonts w:ascii="Open Sans" w:hAnsi="Open Sans" w:cs="Open Sans"/>
                <w:sz w:val="20"/>
                <w:szCs w:val="20"/>
                <w:lang w:val="en-US"/>
              </w:rPr>
            </w:pPr>
            <w:r w:rsidRPr="000424DB">
              <w:rPr>
                <w:rFonts w:ascii="Open Sans" w:hAnsi="Open Sans" w:cs="Open Sans"/>
                <w:sz w:val="20"/>
                <w:szCs w:val="20"/>
                <w:lang w:val="en-US"/>
              </w:rPr>
              <w:t>We do agree with the proposal</w:t>
            </w:r>
            <w:r w:rsidR="000424DB">
              <w:rPr>
                <w:rFonts w:ascii="Open Sans" w:hAnsi="Open Sans" w:cs="Open Sans"/>
                <w:sz w:val="20"/>
                <w:szCs w:val="20"/>
                <w:lang w:val="en-US"/>
              </w:rPr>
              <w:t>.</w:t>
            </w:r>
          </w:p>
        </w:tc>
      </w:tr>
      <w:tr w:rsidR="00E84D83" w:rsidRPr="00EB6705" w14:paraId="30BC209C" w14:textId="77777777" w:rsidTr="00B14710">
        <w:tc>
          <w:tcPr>
            <w:tcW w:w="4349" w:type="dxa"/>
          </w:tcPr>
          <w:p w14:paraId="1CB7D991" w14:textId="3D4F796C" w:rsidR="00E84D83" w:rsidRPr="00D620AC" w:rsidRDefault="00E84D83" w:rsidP="00E84D83">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lastRenderedPageBreak/>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E84D83" w:rsidRDefault="00E84D83" w:rsidP="00E84D83">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1CE30B33" w:rsidR="00E84D83" w:rsidRPr="006F2DF9" w:rsidRDefault="00E84D83" w:rsidP="006F2DF9">
            <w:pPr>
              <w:spacing w:before="120" w:after="120"/>
              <w:jc w:val="both"/>
              <w:rPr>
                <w:rFonts w:ascii="Open Sans" w:hAnsi="Open Sans" w:cs="Open Sans"/>
                <w:sz w:val="20"/>
                <w:szCs w:val="20"/>
                <w:lang w:val="en-US"/>
              </w:rPr>
            </w:pPr>
            <w:r w:rsidRPr="006F2DF9">
              <w:rPr>
                <w:rFonts w:ascii="Open Sans" w:hAnsi="Open Sans" w:cs="Open Sans"/>
                <w:sz w:val="20"/>
                <w:szCs w:val="20"/>
                <w:lang w:val="en-US"/>
              </w:rPr>
              <w:t>We do agree with the proposal</w:t>
            </w:r>
            <w:r w:rsidR="00F602BD" w:rsidRPr="006F2DF9">
              <w:rPr>
                <w:rFonts w:ascii="Open Sans" w:hAnsi="Open Sans" w:cs="Open Sans"/>
                <w:sz w:val="20"/>
                <w:szCs w:val="20"/>
                <w:lang w:val="en-US"/>
              </w:rPr>
              <w:t xml:space="preserve"> since </w:t>
            </w:r>
            <w:r w:rsidR="00865687">
              <w:rPr>
                <w:rFonts w:ascii="Open Sans" w:hAnsi="Open Sans" w:cs="Open Sans"/>
                <w:sz w:val="20"/>
                <w:szCs w:val="20"/>
                <w:lang w:val="en-US"/>
              </w:rPr>
              <w:t xml:space="preserve">inventories </w:t>
            </w:r>
            <w:r w:rsidR="00865687" w:rsidRPr="006F2DF9">
              <w:rPr>
                <w:rFonts w:ascii="Open Sans" w:hAnsi="Open Sans" w:cs="Open Sans"/>
                <w:sz w:val="20"/>
                <w:szCs w:val="20"/>
                <w:lang w:val="en-US"/>
              </w:rPr>
              <w:t>cannot</w:t>
            </w:r>
            <w:r w:rsidR="00F602BD" w:rsidRPr="006F2DF9">
              <w:rPr>
                <w:rFonts w:ascii="Open Sans" w:hAnsi="Open Sans" w:cs="Open Sans"/>
                <w:sz w:val="20"/>
                <w:szCs w:val="20"/>
                <w:lang w:val="en-US"/>
              </w:rPr>
              <w:t xml:space="preserve"> be reliably measured, and therefore missing out on recognition</w:t>
            </w:r>
            <w:r w:rsidR="00865687">
              <w:rPr>
                <w:rFonts w:ascii="Open Sans" w:hAnsi="Open Sans" w:cs="Open Sans"/>
                <w:sz w:val="20"/>
                <w:szCs w:val="20"/>
                <w:lang w:val="en-US"/>
              </w:rPr>
              <w:t>. I</w:t>
            </w:r>
            <w:r w:rsidR="00097C83" w:rsidRPr="006F2DF9">
              <w:rPr>
                <w:rFonts w:ascii="Open Sans" w:hAnsi="Open Sans" w:cs="Open Sans"/>
                <w:sz w:val="20"/>
                <w:szCs w:val="20"/>
                <w:lang w:val="en-US"/>
              </w:rPr>
              <w:t xml:space="preserve">t appears a disclosure statement would be the most ideal </w:t>
            </w:r>
            <w:r w:rsidR="001D27DF" w:rsidRPr="006F2DF9">
              <w:rPr>
                <w:rFonts w:ascii="Open Sans" w:hAnsi="Open Sans" w:cs="Open Sans"/>
                <w:sz w:val="20"/>
                <w:szCs w:val="20"/>
                <w:lang w:val="en-US"/>
              </w:rPr>
              <w:t>approach in</w:t>
            </w:r>
            <w:r w:rsidR="00097C83" w:rsidRPr="006F2DF9">
              <w:rPr>
                <w:rFonts w:ascii="Open Sans" w:hAnsi="Open Sans" w:cs="Open Sans"/>
                <w:sz w:val="20"/>
                <w:szCs w:val="20"/>
                <w:lang w:val="en-US"/>
              </w:rPr>
              <w:t xml:space="preserve"> such circumstances.</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07EB2390" w:rsidR="00FE20EA" w:rsidRPr="001B2BEC" w:rsidRDefault="001C1CE3" w:rsidP="001B2BEC">
            <w:pPr>
              <w:spacing w:before="120" w:after="120"/>
              <w:jc w:val="both"/>
              <w:rPr>
                <w:rFonts w:ascii="Open Sans" w:hAnsi="Open Sans" w:cs="Open Sans"/>
                <w:sz w:val="20"/>
                <w:szCs w:val="20"/>
                <w:lang w:val="en-US"/>
              </w:rPr>
            </w:pPr>
            <w:r w:rsidRPr="001B2BEC">
              <w:rPr>
                <w:rFonts w:ascii="Open Sans" w:hAnsi="Open Sans" w:cs="Open Sans"/>
                <w:sz w:val="20"/>
                <w:szCs w:val="20"/>
                <w:lang w:val="en-US"/>
              </w:rPr>
              <w:t>We do agree with the proposal since</w:t>
            </w:r>
            <w:r w:rsidR="00B26C07" w:rsidRPr="001B2BEC">
              <w:rPr>
                <w:rFonts w:ascii="Open Sans" w:hAnsi="Open Sans" w:cs="Open Sans"/>
                <w:sz w:val="20"/>
                <w:szCs w:val="20"/>
                <w:lang w:val="en-US"/>
              </w:rPr>
              <w:t xml:space="preserve"> an example on</w:t>
            </w:r>
            <w:r w:rsidRPr="001B2BEC">
              <w:rPr>
                <w:rFonts w:ascii="Open Sans" w:hAnsi="Open Sans" w:cs="Open Sans"/>
                <w:sz w:val="20"/>
                <w:szCs w:val="20"/>
                <w:lang w:val="en-US"/>
              </w:rPr>
              <w:t xml:space="preserve"> onerous contract</w:t>
            </w:r>
            <w:r w:rsidR="00B26C07" w:rsidRPr="001B2BEC">
              <w:rPr>
                <w:rFonts w:ascii="Open Sans" w:hAnsi="Open Sans" w:cs="Open Sans"/>
                <w:sz w:val="20"/>
                <w:szCs w:val="20"/>
                <w:lang w:val="en-US"/>
              </w:rPr>
              <w:t>s</w:t>
            </w:r>
            <w:r w:rsidRPr="001B2BEC">
              <w:rPr>
                <w:rFonts w:ascii="Open Sans" w:hAnsi="Open Sans" w:cs="Open Sans"/>
                <w:sz w:val="20"/>
                <w:szCs w:val="20"/>
                <w:lang w:val="en-US"/>
              </w:rPr>
              <w:t xml:space="preserve"> is more relevant </w:t>
            </w:r>
            <w:r w:rsidR="00B26C07" w:rsidRPr="001B2BEC">
              <w:rPr>
                <w:rFonts w:ascii="Open Sans" w:hAnsi="Open Sans" w:cs="Open Sans"/>
                <w:sz w:val="20"/>
                <w:szCs w:val="20"/>
                <w:lang w:val="en-US"/>
              </w:rPr>
              <w:t>to NPOs compared to warranties</w:t>
            </w:r>
            <w:r w:rsidR="001B2BEC">
              <w:rPr>
                <w:rFonts w:ascii="Open Sans" w:hAnsi="Open Sans" w:cs="Open Sans"/>
                <w:sz w:val="20"/>
                <w:szCs w:val="20"/>
                <w:lang w:val="en-US"/>
              </w:rPr>
              <w:t xml:space="preserve">. </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w:t>
            </w:r>
            <w:proofErr w:type="gramStart"/>
            <w:r w:rsidRPr="007271BB">
              <w:rPr>
                <w:rFonts w:ascii="Open Sans" w:hAnsi="Open Sans" w:cs="Open Sans"/>
                <w:color w:val="000000" w:themeColor="text1"/>
                <w:sz w:val="20"/>
                <w:szCs w:val="20"/>
              </w:rPr>
              <w:t>5 step</w:t>
            </w:r>
            <w:proofErr w:type="gramEnd"/>
            <w:r w:rsidRPr="007271BB">
              <w:rPr>
                <w:rFonts w:ascii="Open Sans" w:hAnsi="Open Sans" w:cs="Open Sans"/>
                <w:color w:val="000000" w:themeColor="text1"/>
                <w:sz w:val="20"/>
                <w:szCs w:val="20"/>
              </w:rPr>
              <w:t xml:space="preserve">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6C494B95"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r w:rsidR="00F96DC6" w:rsidRPr="007271BB">
              <w:rPr>
                <w:rFonts w:ascii="Open Sans" w:hAnsi="Open Sans" w:cs="Open Sans"/>
                <w:color w:val="000000" w:themeColor="text1"/>
                <w:sz w:val="20"/>
                <w:szCs w:val="20"/>
              </w:rPr>
              <w:t>provides</w:t>
            </w:r>
            <w:r w:rsidR="00F96DC6" w:rsidRPr="0072594C">
              <w:rPr>
                <w:rFonts w:ascii="Open Sans" w:hAnsi="Open Sans" w:cs="Open Sans"/>
                <w:color w:val="000000" w:themeColor="text1"/>
                <w:sz w:val="20"/>
                <w:szCs w:val="20"/>
              </w:rPr>
              <w:t xml:space="preserve"> It</w:t>
            </w:r>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 xml:space="preserve">If not, what alternative terms would you propose to achieve the </w:t>
            </w:r>
            <w:r w:rsidRPr="00455BD0">
              <w:rPr>
                <w:rFonts w:ascii="Open Sans" w:hAnsi="Open Sans" w:cs="Open Sans"/>
                <w:sz w:val="20"/>
                <w:szCs w:val="20"/>
              </w:rPr>
              <w:lastRenderedPageBreak/>
              <w:t>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1501A078" w14:textId="34847639" w:rsidR="0054631C" w:rsidRPr="00A609E3" w:rsidRDefault="00F600F6" w:rsidP="00FE20EA">
            <w:pPr>
              <w:rPr>
                <w:rFonts w:ascii="Open Sans" w:hAnsi="Open Sans" w:cs="Open Sans"/>
                <w:sz w:val="20"/>
                <w:szCs w:val="20"/>
                <w:lang w:val="en-US"/>
              </w:rPr>
            </w:pPr>
            <w:r w:rsidRPr="00A609E3">
              <w:rPr>
                <w:rFonts w:ascii="Open Sans" w:hAnsi="Open Sans" w:cs="Open Sans"/>
                <w:sz w:val="20"/>
                <w:szCs w:val="20"/>
                <w:lang w:val="en-US"/>
              </w:rPr>
              <w:t xml:space="preserve">Agree </w:t>
            </w:r>
            <w:r w:rsidR="00517F59" w:rsidRPr="00A609E3">
              <w:rPr>
                <w:rFonts w:ascii="Open Sans" w:hAnsi="Open Sans" w:cs="Open Sans"/>
                <w:sz w:val="20"/>
                <w:szCs w:val="20"/>
                <w:lang w:val="en-US"/>
              </w:rPr>
              <w:t>–</w:t>
            </w:r>
            <w:r w:rsidRPr="00A609E3">
              <w:rPr>
                <w:rFonts w:ascii="Open Sans" w:hAnsi="Open Sans" w:cs="Open Sans"/>
                <w:sz w:val="20"/>
                <w:szCs w:val="20"/>
                <w:lang w:val="en-US"/>
              </w:rPr>
              <w:t xml:space="preserve"> </w:t>
            </w:r>
            <w:r w:rsidR="00517F59" w:rsidRPr="00A609E3">
              <w:rPr>
                <w:rFonts w:ascii="Open Sans" w:hAnsi="Open Sans" w:cs="Open Sans"/>
                <w:sz w:val="20"/>
                <w:szCs w:val="20"/>
                <w:lang w:val="en-US"/>
              </w:rPr>
              <w:t>as the terms are well adapted and explained.</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2A78C373" w:rsidR="0054631C" w:rsidRPr="00A609E3" w:rsidRDefault="00247804"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9812E4" w:rsidRPr="00A609E3">
              <w:rPr>
                <w:rFonts w:ascii="Open Sans" w:hAnsi="Open Sans" w:cs="Open Sans"/>
                <w:sz w:val="20"/>
                <w:szCs w:val="20"/>
                <w:lang w:val="en-US"/>
              </w:rPr>
              <w:t xml:space="preserve"> </w:t>
            </w:r>
            <w:r w:rsidR="00A609E3">
              <w:rPr>
                <w:rFonts w:ascii="Open Sans" w:hAnsi="Open Sans" w:cs="Open Sans"/>
                <w:sz w:val="20"/>
                <w:szCs w:val="20"/>
                <w:lang w:val="en-US"/>
              </w:rPr>
              <w:t>giv</w:t>
            </w:r>
            <w:r w:rsidR="009812E4" w:rsidRPr="00A609E3">
              <w:rPr>
                <w:rFonts w:ascii="Open Sans" w:hAnsi="Open Sans" w:cs="Open Sans"/>
                <w:sz w:val="20"/>
                <w:szCs w:val="20"/>
                <w:lang w:val="en-US"/>
              </w:rPr>
              <w:t>e</w:t>
            </w:r>
            <w:r w:rsidR="00A609E3">
              <w:rPr>
                <w:rFonts w:ascii="Open Sans" w:hAnsi="Open Sans" w:cs="Open Sans"/>
                <w:sz w:val="20"/>
                <w:szCs w:val="20"/>
                <w:lang w:val="en-US"/>
              </w:rPr>
              <w:t>n that</w:t>
            </w:r>
            <w:r w:rsidR="009812E4" w:rsidRPr="00A609E3">
              <w:rPr>
                <w:rFonts w:ascii="Open Sans" w:hAnsi="Open Sans" w:cs="Open Sans"/>
                <w:sz w:val="20"/>
                <w:szCs w:val="20"/>
                <w:lang w:val="en-US"/>
              </w:rPr>
              <w:t xml:space="preserve"> the guidance clearly demonstrates how a transaction should be treated either with Part I or Part II including circumstances when to adopt both.</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36EA33CB" w:rsidR="00FE20EA" w:rsidRPr="00A609E3" w:rsidRDefault="00247804"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 xml:space="preserve"> since </w:t>
            </w:r>
            <w:r w:rsidR="00116B64" w:rsidRPr="00A609E3">
              <w:rPr>
                <w:rFonts w:ascii="Open Sans" w:hAnsi="Open Sans" w:cs="Open Sans"/>
                <w:sz w:val="20"/>
                <w:szCs w:val="20"/>
                <w:lang w:val="en-US"/>
              </w:rPr>
              <w:t>revenue recognition with grants and donations is attributable to existence of a right and an obligation.</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 xml:space="preserve">Do you agree with the allocation methods identified? If not, what </w:t>
            </w:r>
            <w:r w:rsidRPr="0037551B">
              <w:rPr>
                <w:rFonts w:ascii="Open Sans" w:hAnsi="Open Sans" w:cs="Open Sans"/>
                <w:sz w:val="20"/>
                <w:szCs w:val="20"/>
              </w:rPr>
              <w:lastRenderedPageBreak/>
              <w:t>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lastRenderedPageBreak/>
              <w:t>G23.53-G23.56, G23.125-G23.138, AG23.52-AG23.59</w:t>
            </w:r>
          </w:p>
        </w:tc>
        <w:tc>
          <w:tcPr>
            <w:tcW w:w="8282" w:type="dxa"/>
          </w:tcPr>
          <w:p w14:paraId="0C700B35" w14:textId="35F3D818" w:rsidR="00EF069E" w:rsidRPr="00EB6705" w:rsidRDefault="00F96DC6" w:rsidP="00A609E3">
            <w:pPr>
              <w:jc w:val="both"/>
              <w:rPr>
                <w:rFonts w:ascii="Open Sans" w:hAnsi="Open Sans" w:cs="Open Sans"/>
                <w:b/>
                <w:bCs/>
                <w:sz w:val="20"/>
                <w:szCs w:val="20"/>
                <w:lang w:val="en-US"/>
              </w:rPr>
            </w:pPr>
            <w:r w:rsidRPr="00A609E3">
              <w:rPr>
                <w:rFonts w:ascii="Open Sans" w:hAnsi="Open Sans" w:cs="Open Sans"/>
                <w:sz w:val="20"/>
                <w:szCs w:val="20"/>
                <w:lang w:val="en-US"/>
              </w:rPr>
              <w:t>We do agree with the proposal</w:t>
            </w:r>
            <w:r w:rsidR="00597806" w:rsidRPr="00A609E3">
              <w:rPr>
                <w:rFonts w:ascii="Open Sans" w:hAnsi="Open Sans" w:cs="Open Sans"/>
                <w:sz w:val="20"/>
                <w:szCs w:val="20"/>
                <w:lang w:val="en-US"/>
              </w:rPr>
              <w:t xml:space="preserve"> </w:t>
            </w:r>
            <w:r w:rsidR="00A609E3">
              <w:rPr>
                <w:rFonts w:ascii="Open Sans" w:hAnsi="Open Sans" w:cs="Open Sans"/>
                <w:sz w:val="20"/>
                <w:szCs w:val="20"/>
                <w:lang w:val="en-US"/>
              </w:rPr>
              <w:t>because</w:t>
            </w:r>
            <w:r w:rsidR="00597806" w:rsidRPr="00A609E3">
              <w:rPr>
                <w:rFonts w:ascii="Open Sans" w:hAnsi="Open Sans" w:cs="Open Sans"/>
                <w:sz w:val="20"/>
                <w:szCs w:val="20"/>
                <w:lang w:val="en-US"/>
              </w:rPr>
              <w:t xml:space="preserve"> it caters for </w:t>
            </w:r>
            <w:r w:rsidR="004C26B3" w:rsidRPr="00A609E3">
              <w:rPr>
                <w:rFonts w:ascii="Open Sans" w:hAnsi="Open Sans" w:cs="Open Sans"/>
                <w:sz w:val="20"/>
                <w:szCs w:val="20"/>
                <w:lang w:val="en-US"/>
              </w:rPr>
              <w:t>the multiplicity of the distinct grant fulfilment right and consequently the related corresponding obligation</w:t>
            </w:r>
            <w:r w:rsidR="004C26B3">
              <w:rPr>
                <w:rFonts w:ascii="Open Sans" w:hAnsi="Open Sans" w:cs="Open Sans"/>
                <w:b/>
                <w:bCs/>
                <w:sz w:val="20"/>
                <w:szCs w:val="20"/>
                <w:lang w:val="en-US"/>
              </w:rPr>
              <w:t>.</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66B5EF6D" w:rsidR="00B62A32" w:rsidRPr="00A609E3" w:rsidRDefault="00B27A40"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sidRPr="00A609E3">
              <w:rPr>
                <w:rFonts w:ascii="Open Sans" w:hAnsi="Open Sans" w:cs="Open Sans"/>
                <w:sz w:val="20"/>
                <w:szCs w:val="20"/>
                <w:lang w:val="en-US"/>
              </w:rPr>
              <w:t>.</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6CAF1936" w:rsidR="00B62A32" w:rsidRPr="00A609E3" w:rsidRDefault="00B27A40"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14672D0C" w:rsidR="00B62A32" w:rsidRPr="00A609E3" w:rsidRDefault="00B27A40"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administrative tasks are generally not separate individually enforceable obligations, but a means to identify or report on resources in an </w:t>
            </w:r>
            <w:r w:rsidRPr="00455BD0">
              <w:rPr>
                <w:rFonts w:ascii="Open Sans" w:hAnsi="Open Sans" w:cs="Open Sans"/>
                <w:sz w:val="20"/>
                <w:szCs w:val="20"/>
              </w:rPr>
              <w:lastRenderedPageBreak/>
              <w:t>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G23.49</w:t>
            </w:r>
          </w:p>
        </w:tc>
        <w:tc>
          <w:tcPr>
            <w:tcW w:w="8282" w:type="dxa"/>
          </w:tcPr>
          <w:p w14:paraId="7D4C19D5" w14:textId="5537E5B9" w:rsidR="00B62A32" w:rsidRPr="00A609E3" w:rsidRDefault="00A81F29"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5C74C52B" w:rsidR="00B62A32" w:rsidRPr="00A609E3" w:rsidRDefault="00664323"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34E50D56" w:rsidR="00B62A32" w:rsidRPr="00A609E3" w:rsidRDefault="001A4B75"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 xml:space="preserve">. However, </w:t>
            </w:r>
            <w:r w:rsidRPr="00A609E3">
              <w:rPr>
                <w:rFonts w:ascii="Open Sans" w:hAnsi="Open Sans" w:cs="Open Sans"/>
                <w:sz w:val="20"/>
                <w:szCs w:val="20"/>
                <w:lang w:val="en-US"/>
              </w:rPr>
              <w:t>additional guidance</w:t>
            </w:r>
            <w:r w:rsidR="00A609E3">
              <w:rPr>
                <w:rFonts w:ascii="Open Sans" w:hAnsi="Open Sans" w:cs="Open Sans"/>
                <w:sz w:val="20"/>
                <w:szCs w:val="20"/>
                <w:lang w:val="en-US"/>
              </w:rPr>
              <w:t xml:space="preserve"> should be</w:t>
            </w:r>
            <w:r w:rsidRPr="00A609E3">
              <w:rPr>
                <w:rFonts w:ascii="Open Sans" w:hAnsi="Open Sans" w:cs="Open Sans"/>
                <w:sz w:val="20"/>
                <w:szCs w:val="20"/>
                <w:lang w:val="en-US"/>
              </w:rPr>
              <w:t xml:space="preserve"> provided on more complex grants’ eases and improves useability. </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23, including whether the full content of the IFRS for SMEs section on revenue from contracts </w:t>
            </w:r>
            <w:r>
              <w:rPr>
                <w:rFonts w:ascii="Open Sans" w:hAnsi="Open Sans" w:cs="Open Sans"/>
                <w:sz w:val="20"/>
                <w:szCs w:val="20"/>
              </w:rPr>
              <w:lastRenderedPageBreak/>
              <w:t>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657058CF" w:rsidR="00B62A32" w:rsidRPr="00A609E3" w:rsidRDefault="00A6635A" w:rsidP="00A609E3">
            <w:pPr>
              <w:jc w:val="both"/>
              <w:rPr>
                <w:rFonts w:ascii="Open Sans" w:hAnsi="Open Sans" w:cs="Open Sans"/>
                <w:sz w:val="20"/>
                <w:szCs w:val="20"/>
                <w:lang w:val="en-US"/>
              </w:rPr>
            </w:pPr>
            <w:r w:rsidRPr="00A609E3">
              <w:rPr>
                <w:rFonts w:ascii="Open Sans" w:hAnsi="Open Sans" w:cs="Open Sans"/>
                <w:sz w:val="20"/>
                <w:szCs w:val="20"/>
                <w:lang w:val="en-US"/>
              </w:rPr>
              <w:t xml:space="preserve">The full content is needed </w:t>
            </w:r>
            <w:r w:rsidR="001660DB" w:rsidRPr="00A609E3">
              <w:rPr>
                <w:rFonts w:ascii="Open Sans" w:hAnsi="Open Sans" w:cs="Open Sans"/>
                <w:sz w:val="20"/>
                <w:szCs w:val="20"/>
                <w:lang w:val="en-US"/>
              </w:rPr>
              <w:t xml:space="preserve">and necessary </w:t>
            </w:r>
            <w:r w:rsidRPr="00A609E3">
              <w:rPr>
                <w:rFonts w:ascii="Open Sans" w:hAnsi="Open Sans" w:cs="Open Sans"/>
                <w:sz w:val="20"/>
                <w:szCs w:val="20"/>
                <w:lang w:val="en-US"/>
              </w:rPr>
              <w:t>as it is equally appropriate for NPOs; n</w:t>
            </w:r>
            <w:r w:rsidR="000A4174" w:rsidRPr="00A609E3">
              <w:rPr>
                <w:rFonts w:ascii="Open Sans" w:hAnsi="Open Sans" w:cs="Open Sans"/>
                <w:sz w:val="20"/>
                <w:szCs w:val="20"/>
                <w:lang w:val="en-US"/>
              </w:rPr>
              <w:t>o other comments.</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523D606D" w:rsidR="00EE70DF" w:rsidRPr="00A609E3" w:rsidRDefault="007C5AED" w:rsidP="00A609E3">
            <w:pPr>
              <w:jc w:val="both"/>
              <w:rPr>
                <w:rFonts w:ascii="Open Sans" w:hAnsi="Open Sans" w:cs="Open Sans"/>
                <w:sz w:val="20"/>
                <w:szCs w:val="20"/>
                <w:lang w:val="en-US"/>
              </w:rPr>
            </w:pPr>
            <w:r w:rsidRPr="00A609E3">
              <w:rPr>
                <w:rFonts w:ascii="Open Sans" w:hAnsi="Open Sans" w:cs="Open Sans"/>
                <w:sz w:val="20"/>
                <w:szCs w:val="20"/>
                <w:lang w:val="en-US"/>
              </w:rPr>
              <w:t xml:space="preserve"> We do </w:t>
            </w:r>
            <w:r w:rsidR="001E1451" w:rsidRPr="00A609E3">
              <w:rPr>
                <w:rFonts w:ascii="Open Sans" w:hAnsi="Open Sans" w:cs="Open Sans"/>
                <w:sz w:val="20"/>
                <w:szCs w:val="20"/>
                <w:lang w:val="en-US"/>
              </w:rPr>
              <w:t>agree with</w:t>
            </w:r>
            <w:r w:rsidRPr="00A609E3">
              <w:rPr>
                <w:rFonts w:ascii="Open Sans" w:hAnsi="Open Sans" w:cs="Open Sans"/>
                <w:sz w:val="20"/>
                <w:szCs w:val="20"/>
                <w:lang w:val="en-US"/>
              </w:rPr>
              <w:t xml:space="preserve"> the proposal</w:t>
            </w:r>
            <w:r w:rsidR="00A609E3" w:rsidRPr="00A609E3">
              <w:rPr>
                <w:rFonts w:ascii="Open Sans" w:hAnsi="Open Sans" w:cs="Open Sans"/>
                <w:sz w:val="20"/>
                <w:szCs w:val="20"/>
                <w:lang w:val="en-US"/>
              </w:rPr>
              <w:t>.</w:t>
            </w: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54351E57" w:rsidR="00EE70DF" w:rsidRPr="00A609E3" w:rsidRDefault="001E1451"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08826222" w:rsidR="00EE70DF" w:rsidRPr="00A609E3" w:rsidRDefault="00B00917" w:rsidP="00A609E3">
            <w:pPr>
              <w:jc w:val="both"/>
              <w:rPr>
                <w:rFonts w:ascii="Open Sans" w:hAnsi="Open Sans" w:cs="Open Sans"/>
                <w:sz w:val="20"/>
                <w:szCs w:val="20"/>
                <w:lang w:val="en-US"/>
              </w:rPr>
            </w:pPr>
            <w:r w:rsidRPr="00A609E3">
              <w:rPr>
                <w:rFonts w:ascii="Open Sans" w:hAnsi="Open Sans" w:cs="Open Sans"/>
                <w:sz w:val="20"/>
                <w:szCs w:val="20"/>
                <w:lang w:val="en-US"/>
              </w:rPr>
              <w:t xml:space="preserve">We do agree though alternative equivalent processes </w:t>
            </w:r>
            <w:r w:rsidR="00F27DC6" w:rsidRPr="00A609E3">
              <w:rPr>
                <w:rFonts w:ascii="Open Sans" w:hAnsi="Open Sans" w:cs="Open Sans"/>
                <w:sz w:val="20"/>
                <w:szCs w:val="20"/>
                <w:lang w:val="en-US"/>
              </w:rPr>
              <w:t>appear</w:t>
            </w:r>
            <w:r w:rsidRPr="00A609E3">
              <w:rPr>
                <w:rFonts w:ascii="Open Sans" w:hAnsi="Open Sans" w:cs="Open Sans"/>
                <w:sz w:val="20"/>
                <w:szCs w:val="20"/>
                <w:lang w:val="en-US"/>
              </w:rPr>
              <w:t xml:space="preserve"> to be somewhat ambiguous. It would be better if those alternative processes are well identified.</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71228429" w:rsidR="00EE70DF" w:rsidRPr="00A609E3" w:rsidRDefault="004447B9"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2C4F8BEA" w:rsidR="00EE70DF" w:rsidRPr="00A609E3" w:rsidRDefault="00664323"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02B76A9A" w:rsidR="00EE70DF" w:rsidRPr="00A609E3" w:rsidRDefault="00664323"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0FCA7879" w:rsidR="00EE70DF" w:rsidRPr="00A609E3" w:rsidRDefault="00664323"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xml:space="preserve">. If so, provide the rationale for any comments </w:t>
            </w:r>
            <w:r>
              <w:rPr>
                <w:rFonts w:ascii="Open Sans" w:hAnsi="Open Sans" w:cs="Open Sans"/>
                <w:sz w:val="20"/>
                <w:szCs w:val="20"/>
              </w:rPr>
              <w:lastRenderedPageBreak/>
              <w:t>and cross reference to the relevant paragraph.</w:t>
            </w:r>
          </w:p>
        </w:tc>
        <w:tc>
          <w:tcPr>
            <w:tcW w:w="1642" w:type="dxa"/>
          </w:tcPr>
          <w:p w14:paraId="4142B9D7"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lastRenderedPageBreak/>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657C839C" w:rsidR="00EE70DF" w:rsidRPr="00A609E3" w:rsidRDefault="00BF5DF6" w:rsidP="00A609E3">
            <w:pPr>
              <w:jc w:val="both"/>
              <w:rPr>
                <w:rFonts w:ascii="Open Sans" w:hAnsi="Open Sans" w:cs="Open Sans"/>
                <w:sz w:val="20"/>
                <w:szCs w:val="20"/>
                <w:lang w:val="en-US"/>
              </w:rPr>
            </w:pPr>
            <w:r w:rsidRPr="00A609E3">
              <w:rPr>
                <w:rFonts w:ascii="Open Sans" w:hAnsi="Open Sans" w:cs="Open Sans"/>
                <w:sz w:val="20"/>
                <w:szCs w:val="20"/>
                <w:lang w:val="en-US"/>
              </w:rPr>
              <w:t xml:space="preserve">We do agree with the proposal – No other </w:t>
            </w:r>
            <w:r w:rsidR="00E50FD6" w:rsidRPr="00A609E3">
              <w:rPr>
                <w:rFonts w:ascii="Open Sans" w:hAnsi="Open Sans" w:cs="Open Sans"/>
                <w:sz w:val="20"/>
                <w:szCs w:val="20"/>
                <w:lang w:val="en-US"/>
              </w:rPr>
              <w:t xml:space="preserve">additional </w:t>
            </w:r>
            <w:r w:rsidRPr="00A609E3">
              <w:rPr>
                <w:rFonts w:ascii="Open Sans" w:hAnsi="Open Sans" w:cs="Open Sans"/>
                <w:sz w:val="20"/>
                <w:szCs w:val="20"/>
                <w:lang w:val="en-US"/>
              </w:rPr>
              <w:t>comments</w:t>
            </w:r>
            <w:r w:rsidR="00A609E3">
              <w:rPr>
                <w:rFonts w:ascii="Open Sans" w:hAnsi="Open Sans" w:cs="Open Sans"/>
                <w:sz w:val="20"/>
                <w:szCs w:val="20"/>
                <w:lang w:val="en-US"/>
              </w:rPr>
              <w:t>.</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047A262C" w:rsidR="007312A9" w:rsidRPr="00A609E3" w:rsidRDefault="00B000C4" w:rsidP="00A609E3">
            <w:pPr>
              <w:jc w:val="both"/>
              <w:rPr>
                <w:rFonts w:ascii="Open Sans" w:hAnsi="Open Sans" w:cs="Open Sans"/>
                <w:sz w:val="20"/>
                <w:szCs w:val="20"/>
                <w:lang w:val="en-US"/>
              </w:rPr>
            </w:pPr>
            <w:r w:rsidRPr="00A609E3">
              <w:rPr>
                <w:rFonts w:ascii="Open Sans" w:hAnsi="Open Sans" w:cs="Open Sans"/>
                <w:sz w:val="20"/>
                <w:szCs w:val="20"/>
                <w:lang w:val="en-US"/>
              </w:rPr>
              <w:t xml:space="preserve">There appears to be no other significant alignment changes required under this </w:t>
            </w:r>
            <w:r w:rsidR="000327B3" w:rsidRPr="00A609E3">
              <w:rPr>
                <w:rFonts w:ascii="Open Sans" w:hAnsi="Open Sans" w:cs="Open Sans"/>
                <w:sz w:val="20"/>
                <w:szCs w:val="20"/>
                <w:lang w:val="en-US"/>
              </w:rPr>
              <w:t>S</w:t>
            </w:r>
            <w:r w:rsidRPr="00A609E3">
              <w:rPr>
                <w:rFonts w:ascii="Open Sans" w:hAnsi="Open Sans" w:cs="Open Sans"/>
                <w:sz w:val="20"/>
                <w:szCs w:val="20"/>
                <w:lang w:val="en-US"/>
              </w:rPr>
              <w:t>ection.</w:t>
            </w: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 xml:space="preserve">If not, provide </w:t>
            </w:r>
            <w:r w:rsidRPr="002C18D0">
              <w:rPr>
                <w:rFonts w:ascii="Open Sans" w:hAnsi="Open Sans" w:cs="Open Sans"/>
                <w:sz w:val="20"/>
                <w:szCs w:val="20"/>
              </w:rPr>
              <w:lastRenderedPageBreak/>
              <w:t>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lastRenderedPageBreak/>
              <w:t>Not applicable</w:t>
            </w:r>
          </w:p>
        </w:tc>
        <w:tc>
          <w:tcPr>
            <w:tcW w:w="8282" w:type="dxa"/>
          </w:tcPr>
          <w:p w14:paraId="484AFC46" w14:textId="74D1E6B6" w:rsidR="00563EEE" w:rsidRPr="00A609E3" w:rsidRDefault="00A5490D" w:rsidP="00563EEE">
            <w:pPr>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sidRPr="00A609E3">
              <w:rPr>
                <w:rFonts w:ascii="Open Sans" w:hAnsi="Open Sans" w:cs="Open Sans"/>
                <w:sz w:val="20"/>
                <w:szCs w:val="20"/>
                <w:lang w:val="en-US"/>
              </w:rPr>
              <w:t>.</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62FEABC0"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w:t>
            </w:r>
            <w:r w:rsidR="00DA4038" w:rsidRPr="002C18D0">
              <w:rPr>
                <w:rFonts w:ascii="Open Sans" w:hAnsi="Open Sans" w:cs="Open Sans"/>
                <w:sz w:val="20"/>
                <w:szCs w:val="20"/>
              </w:rPr>
              <w:t>those employees</w:t>
            </w:r>
            <w:r w:rsidRPr="002C18D0">
              <w:rPr>
                <w:rFonts w:ascii="Open Sans" w:hAnsi="Open Sans" w:cs="Open Sans"/>
                <w:sz w:val="20"/>
                <w:szCs w:val="20"/>
              </w:rPr>
              <w:t xml:space="preserve">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024D346B" w:rsidR="00240FA8" w:rsidRPr="00A609E3" w:rsidRDefault="00A5490D" w:rsidP="00240FA8">
            <w:pPr>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66E08EF6" w:rsidR="00240FA8" w:rsidRPr="00A609E3" w:rsidRDefault="00A5490D" w:rsidP="00240FA8">
            <w:pPr>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5AD5133F" w:rsidR="0083399D" w:rsidRPr="00A609E3" w:rsidRDefault="00105A8B" w:rsidP="0083399D">
            <w:pPr>
              <w:jc w:val="both"/>
              <w:rPr>
                <w:rFonts w:ascii="Open Sans" w:hAnsi="Open Sans" w:cs="Open Sans"/>
                <w:sz w:val="20"/>
                <w:szCs w:val="20"/>
                <w:lang w:val="en-US"/>
              </w:rPr>
            </w:pPr>
            <w:r w:rsidRPr="00A609E3">
              <w:rPr>
                <w:rFonts w:ascii="Open Sans" w:hAnsi="Open Sans" w:cs="Open Sans"/>
                <w:sz w:val="20"/>
                <w:szCs w:val="20"/>
                <w:lang w:val="en-US"/>
              </w:rPr>
              <w:t>No other elements of this Section appear not to be required by the NPO.</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E42D77" w:rsidRPr="00EB6705" w14:paraId="36BDF626" w14:textId="77777777" w:rsidTr="00A276B0">
        <w:tc>
          <w:tcPr>
            <w:tcW w:w="4388" w:type="dxa"/>
          </w:tcPr>
          <w:p w14:paraId="051E5644" w14:textId="1C2BF3F8" w:rsidR="00E42D77" w:rsidRPr="008A350D" w:rsidRDefault="00E42D77" w:rsidP="00E42D77">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E42D77" w:rsidRPr="00EB6705" w:rsidRDefault="00E42D77" w:rsidP="00E42D77">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02533802" w:rsidR="00E42D77" w:rsidRPr="00A609E3" w:rsidRDefault="00E42D77" w:rsidP="00A609E3">
            <w:pPr>
              <w:autoSpaceDE w:val="0"/>
              <w:autoSpaceDN w:val="0"/>
              <w:adjustRightInd w:val="0"/>
              <w:jc w:val="both"/>
              <w:rPr>
                <w:rFonts w:ascii="Open Sans" w:hAnsi="Open Sans" w:cs="Open Sans"/>
                <w:sz w:val="20"/>
                <w:szCs w:val="20"/>
                <w:lang w:val="en-US"/>
              </w:rPr>
            </w:pPr>
            <w:r w:rsidRPr="00A609E3">
              <w:rPr>
                <w:rFonts w:ascii="Open Sans" w:hAnsi="Open Sans" w:cs="Open Sans"/>
                <w:sz w:val="20"/>
                <w:szCs w:val="20"/>
                <w:lang w:val="en-US"/>
              </w:rPr>
              <w:t xml:space="preserve">We do agree </w:t>
            </w:r>
            <w:r w:rsidR="00A609E3">
              <w:rPr>
                <w:rFonts w:ascii="Open Sans" w:hAnsi="Open Sans" w:cs="Open Sans"/>
                <w:sz w:val="20"/>
                <w:szCs w:val="20"/>
                <w:lang w:val="en-US"/>
              </w:rPr>
              <w:t xml:space="preserve">given the fact that </w:t>
            </w:r>
            <w:r w:rsidR="00A00DBC" w:rsidRPr="00A609E3">
              <w:rPr>
                <w:rFonts w:ascii="Open Sans" w:hAnsi="Open Sans" w:cs="Open Sans"/>
                <w:sz w:val="20"/>
                <w:szCs w:val="20"/>
                <w:lang w:val="en-US"/>
              </w:rPr>
              <w:t xml:space="preserve">grants and donations are one of the most important factors an NPO considers in determining its </w:t>
            </w:r>
            <w:r w:rsidRPr="00A609E3">
              <w:rPr>
                <w:rFonts w:ascii="Open Sans" w:hAnsi="Open Sans" w:cs="Open Sans"/>
                <w:sz w:val="20"/>
                <w:szCs w:val="20"/>
                <w:lang w:val="en-US"/>
              </w:rPr>
              <w:t>functional currency</w:t>
            </w:r>
            <w:r w:rsidR="00A00DBC" w:rsidRPr="00A609E3">
              <w:rPr>
                <w:rFonts w:ascii="Open Sans" w:hAnsi="Open Sans" w:cs="Open Sans"/>
                <w:sz w:val="20"/>
                <w:szCs w:val="20"/>
                <w:lang w:val="en-US"/>
              </w:rPr>
              <w:t>.</w:t>
            </w:r>
          </w:p>
        </w:tc>
      </w:tr>
      <w:tr w:rsidR="00E42D77" w:rsidRPr="00EB6705" w14:paraId="3A6803D0" w14:textId="77777777" w:rsidTr="00A276B0">
        <w:tc>
          <w:tcPr>
            <w:tcW w:w="4388" w:type="dxa"/>
          </w:tcPr>
          <w:p w14:paraId="12F4AD57" w14:textId="7AD16F25" w:rsidR="00E42D77" w:rsidRPr="008A350D" w:rsidRDefault="00E42D77" w:rsidP="00E42D77">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E42D77" w:rsidRPr="00EB6705" w:rsidRDefault="00E42D77" w:rsidP="00E42D77">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4D984A1E" w:rsidR="00E42D77" w:rsidRPr="00A609E3" w:rsidRDefault="00E42D77" w:rsidP="00E42D77">
            <w:pPr>
              <w:jc w:val="both"/>
              <w:rPr>
                <w:rFonts w:ascii="Open Sans" w:hAnsi="Open Sans" w:cs="Open Sans"/>
                <w:sz w:val="20"/>
                <w:szCs w:val="20"/>
                <w:lang w:val="nl-NL"/>
              </w:rPr>
            </w:pPr>
            <w:r w:rsidRPr="00A609E3">
              <w:rPr>
                <w:rFonts w:ascii="Open Sans" w:hAnsi="Open Sans" w:cs="Open Sans"/>
                <w:sz w:val="20"/>
                <w:szCs w:val="20"/>
                <w:lang w:val="en-US"/>
              </w:rPr>
              <w:t>We do agree with the proposal</w:t>
            </w:r>
            <w:r w:rsidR="00A609E3" w:rsidRPr="00A609E3">
              <w:rPr>
                <w:rFonts w:ascii="Open Sans" w:hAnsi="Open Sans" w:cs="Open Sans"/>
                <w:sz w:val="20"/>
                <w:szCs w:val="20"/>
                <w:lang w:val="en-US"/>
              </w:rPr>
              <w:t>.</w:t>
            </w:r>
          </w:p>
        </w:tc>
      </w:tr>
      <w:tr w:rsidR="00E42D77" w:rsidRPr="00EB6705" w14:paraId="2F1EAA3D" w14:textId="77777777" w:rsidTr="00A276B0">
        <w:tc>
          <w:tcPr>
            <w:tcW w:w="4388" w:type="dxa"/>
          </w:tcPr>
          <w:p w14:paraId="1F5D6D4D" w14:textId="7292D87F" w:rsidR="00E42D77" w:rsidRPr="008A350D" w:rsidRDefault="00E42D77" w:rsidP="00E42D77">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E42D77" w:rsidRPr="00EB6705" w:rsidRDefault="00E42D77" w:rsidP="00E42D77">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66602CE0" w:rsidR="00E42D77" w:rsidRPr="00A609E3" w:rsidRDefault="00E42D77" w:rsidP="00E42D77">
            <w:pPr>
              <w:jc w:val="both"/>
              <w:rPr>
                <w:rFonts w:ascii="Open Sans" w:hAnsi="Open Sans" w:cs="Open Sans"/>
                <w:sz w:val="20"/>
                <w:szCs w:val="20"/>
                <w:lang w:val="nl-NL"/>
              </w:rPr>
            </w:pPr>
            <w:r w:rsidRPr="00A609E3">
              <w:rPr>
                <w:rFonts w:ascii="Open Sans" w:hAnsi="Open Sans" w:cs="Open Sans"/>
                <w:sz w:val="20"/>
                <w:szCs w:val="20"/>
                <w:lang w:val="en-US"/>
              </w:rPr>
              <w:t>We do agree with the proposal</w:t>
            </w:r>
            <w:r w:rsidR="00A609E3" w:rsidRPr="00A609E3">
              <w:rPr>
                <w:rFonts w:ascii="Open Sans" w:hAnsi="Open Sans" w:cs="Open Sans"/>
                <w:sz w:val="20"/>
                <w:szCs w:val="20"/>
                <w:lang w:val="en-US"/>
              </w:rPr>
              <w:t>.</w:t>
            </w:r>
          </w:p>
        </w:tc>
      </w:tr>
      <w:tr w:rsidR="00E42D77" w:rsidRPr="00EB6705" w14:paraId="10910159" w14:textId="2F57F2D3" w:rsidTr="00A276B0">
        <w:tc>
          <w:tcPr>
            <w:tcW w:w="4388" w:type="dxa"/>
          </w:tcPr>
          <w:p w14:paraId="6A210A32" w14:textId="35B96E65" w:rsidR="00E42D77" w:rsidRPr="00EB6705" w:rsidRDefault="00E42D77" w:rsidP="00E42D77">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E42D77" w:rsidRPr="00EB6705" w:rsidRDefault="00E42D77" w:rsidP="00E42D77">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34B3734C" w:rsidR="00E42D77" w:rsidRPr="00A609E3" w:rsidRDefault="000A1865" w:rsidP="00E42D77">
            <w:pPr>
              <w:jc w:val="both"/>
              <w:rPr>
                <w:rFonts w:ascii="Open Sans" w:hAnsi="Open Sans" w:cs="Open Sans"/>
                <w:sz w:val="20"/>
                <w:szCs w:val="20"/>
                <w:lang w:val="nl-NL"/>
              </w:rPr>
            </w:pPr>
            <w:r w:rsidRPr="00A609E3">
              <w:rPr>
                <w:rFonts w:ascii="Open Sans" w:hAnsi="Open Sans" w:cs="Open Sans"/>
                <w:sz w:val="20"/>
                <w:szCs w:val="20"/>
                <w:lang w:val="nl-NL"/>
              </w:rPr>
              <w:t>No other comment.</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49233A3B" w:rsidR="009A5B0D" w:rsidRPr="00A609E3" w:rsidRDefault="003C4E88" w:rsidP="00A609E3">
            <w:pPr>
              <w:jc w:val="both"/>
              <w:rPr>
                <w:rFonts w:ascii="Open Sans" w:hAnsi="Open Sans" w:cs="Open Sans"/>
                <w:sz w:val="20"/>
                <w:szCs w:val="20"/>
                <w:lang w:val="en-US"/>
              </w:rPr>
            </w:pPr>
            <w:r w:rsidRPr="00A609E3">
              <w:rPr>
                <w:rFonts w:ascii="Open Sans" w:hAnsi="Open Sans" w:cs="Open Sans"/>
                <w:sz w:val="20"/>
                <w:szCs w:val="20"/>
                <w:lang w:val="en-US"/>
              </w:rPr>
              <w:t>We do agree with the proposal – we believe this section ONLY required terminology adjustments.</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12A68543" w:rsidR="00B83B74" w:rsidRPr="00A609E3" w:rsidRDefault="006E05AC" w:rsidP="00B83B74">
            <w:pPr>
              <w:rPr>
                <w:rFonts w:ascii="Open Sans" w:hAnsi="Open Sans" w:cs="Open Sans"/>
                <w:sz w:val="20"/>
                <w:szCs w:val="20"/>
                <w:lang w:val="en-US"/>
              </w:rPr>
            </w:pPr>
            <w:r w:rsidRPr="00A609E3">
              <w:rPr>
                <w:rFonts w:ascii="Open Sans" w:hAnsi="Open Sans" w:cs="Open Sans"/>
                <w:sz w:val="20"/>
                <w:szCs w:val="20"/>
                <w:lang w:val="en-US"/>
              </w:rPr>
              <w:t>We do agree with the proposal</w:t>
            </w:r>
            <w:r w:rsidR="00A609E3">
              <w:rPr>
                <w:rFonts w:ascii="Open Sans" w:hAnsi="Open Sans" w:cs="Open Sans"/>
                <w:sz w:val="20"/>
                <w:szCs w:val="20"/>
                <w:lang w:val="en-US"/>
              </w:rPr>
              <w:t>.</w:t>
            </w:r>
          </w:p>
        </w:tc>
      </w:tr>
    </w:tbl>
    <w:p w14:paraId="27BD1E7D" w14:textId="24191466" w:rsidR="009F74AC" w:rsidRDefault="009F74AC" w:rsidP="009F74AC">
      <w:pPr>
        <w:rPr>
          <w:rFonts w:ascii="Open Sans" w:hAnsi="Open Sans" w:cs="Open Sans"/>
          <w:b/>
          <w:bCs/>
          <w:sz w:val="20"/>
          <w:szCs w:val="20"/>
          <w:lang w:val="en-US"/>
        </w:rPr>
      </w:pPr>
    </w:p>
    <w:p w14:paraId="26041037" w14:textId="77777777" w:rsidR="00A609E3" w:rsidRDefault="00A609E3" w:rsidP="009F74AC">
      <w:pPr>
        <w:rPr>
          <w:rFonts w:ascii="Open Sans" w:hAnsi="Open Sans" w:cs="Open Sans"/>
          <w:b/>
          <w:bCs/>
          <w:sz w:val="20"/>
          <w:szCs w:val="20"/>
          <w:lang w:val="en-US"/>
        </w:rPr>
      </w:pPr>
    </w:p>
    <w:p w14:paraId="5A070E91" w14:textId="77777777" w:rsidR="00A609E3" w:rsidRDefault="00A609E3"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lastRenderedPageBreak/>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67E8759F" w14:textId="6639AABF" w:rsidR="00A55295" w:rsidRPr="00A609E3" w:rsidRDefault="00AC6BC9" w:rsidP="00A609E3">
            <w:pPr>
              <w:jc w:val="both"/>
              <w:rPr>
                <w:rFonts w:ascii="Open Sans" w:hAnsi="Open Sans" w:cs="Open Sans"/>
                <w:sz w:val="20"/>
                <w:szCs w:val="20"/>
                <w:lang w:val="en-US"/>
              </w:rPr>
            </w:pPr>
            <w:r w:rsidRPr="00A609E3">
              <w:rPr>
                <w:rFonts w:ascii="Open Sans" w:hAnsi="Open Sans" w:cs="Open Sans"/>
                <w:sz w:val="20"/>
                <w:szCs w:val="20"/>
                <w:lang w:val="en-US"/>
              </w:rPr>
              <w:t>NPOs play an important role in all our societies and it is important that the information they provide to users of their financial statements remain consistent and transparent</w:t>
            </w:r>
            <w:r w:rsidR="00A609E3">
              <w:rPr>
                <w:rFonts w:ascii="Open Sans" w:hAnsi="Open Sans" w:cs="Open Sans"/>
                <w:sz w:val="20"/>
                <w:szCs w:val="20"/>
                <w:lang w:val="en-US"/>
              </w:rPr>
              <w:t>. T</w:t>
            </w:r>
            <w:r w:rsidRPr="00A609E3">
              <w:rPr>
                <w:rFonts w:ascii="Open Sans" w:hAnsi="Open Sans" w:cs="Open Sans"/>
                <w:sz w:val="20"/>
                <w:szCs w:val="20"/>
                <w:lang w:val="en-US"/>
              </w:rPr>
              <w:t xml:space="preserve">he NPO Guidance therefore is </w:t>
            </w:r>
            <w:r w:rsidR="000B2E69" w:rsidRPr="00A609E3">
              <w:rPr>
                <w:rFonts w:ascii="Open Sans" w:hAnsi="Open Sans" w:cs="Open Sans"/>
                <w:sz w:val="20"/>
                <w:szCs w:val="20"/>
                <w:lang w:val="en-US"/>
              </w:rPr>
              <w:t xml:space="preserve">welcome and </w:t>
            </w:r>
            <w:r w:rsidRPr="00A609E3">
              <w:rPr>
                <w:rFonts w:ascii="Open Sans" w:hAnsi="Open Sans" w:cs="Open Sans"/>
                <w:sz w:val="20"/>
                <w:szCs w:val="20"/>
                <w:lang w:val="en-US"/>
              </w:rPr>
              <w:t>timely in this regard.</w:t>
            </w:r>
          </w:p>
        </w:tc>
      </w:tr>
    </w:tbl>
    <w:p w14:paraId="61CA65BA" w14:textId="77777777" w:rsidR="00A55295" w:rsidRPr="00A609E3" w:rsidRDefault="00A55295" w:rsidP="009F74AC">
      <w:pPr>
        <w:rPr>
          <w:rFonts w:ascii="Open Sans" w:hAnsi="Open Sans" w:cs="Open Sans"/>
          <w:b/>
          <w:bCs/>
          <w:sz w:val="20"/>
          <w:szCs w:val="20"/>
        </w:rPr>
      </w:pPr>
    </w:p>
    <w:sectPr w:rsidR="00A55295" w:rsidRPr="00A609E3" w:rsidSect="00914B54">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1E96" w14:textId="77777777" w:rsidR="00E61600" w:rsidRDefault="00E61600" w:rsidP="009F74AC">
      <w:pPr>
        <w:spacing w:after="0" w:line="240" w:lineRule="auto"/>
      </w:pPr>
      <w:r>
        <w:separator/>
      </w:r>
    </w:p>
  </w:endnote>
  <w:endnote w:type="continuationSeparator" w:id="0">
    <w:p w14:paraId="7D69CC30" w14:textId="77777777" w:rsidR="00E61600" w:rsidRDefault="00E61600" w:rsidP="009F74AC">
      <w:pPr>
        <w:spacing w:after="0" w:line="240" w:lineRule="auto"/>
      </w:pPr>
      <w:r>
        <w:continuationSeparator/>
      </w:r>
    </w:p>
  </w:endnote>
  <w:endnote w:type="continuationNotice" w:id="1">
    <w:p w14:paraId="3990B130" w14:textId="77777777" w:rsidR="00E61600" w:rsidRDefault="00E61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A09F" w14:textId="77777777" w:rsidR="00E61600" w:rsidRDefault="00E61600" w:rsidP="009F74AC">
      <w:pPr>
        <w:spacing w:after="0" w:line="240" w:lineRule="auto"/>
      </w:pPr>
      <w:r>
        <w:separator/>
      </w:r>
    </w:p>
  </w:footnote>
  <w:footnote w:type="continuationSeparator" w:id="0">
    <w:p w14:paraId="51575657" w14:textId="77777777" w:rsidR="00E61600" w:rsidRDefault="00E61600" w:rsidP="009F74AC">
      <w:pPr>
        <w:spacing w:after="0" w:line="240" w:lineRule="auto"/>
      </w:pPr>
      <w:r>
        <w:continuationSeparator/>
      </w:r>
    </w:p>
  </w:footnote>
  <w:footnote w:type="continuationNotice" w:id="1">
    <w:p w14:paraId="4DEE9C96" w14:textId="77777777" w:rsidR="00E61600" w:rsidRDefault="00E61600">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3"/>
  </w:num>
  <w:num w:numId="5">
    <w:abstractNumId w:val="4"/>
  </w:num>
  <w:num w:numId="6">
    <w:abstractNumId w:val="15"/>
  </w:num>
  <w:num w:numId="7">
    <w:abstractNumId w:val="12"/>
  </w:num>
  <w:num w:numId="8">
    <w:abstractNumId w:val="10"/>
  </w:num>
  <w:num w:numId="9">
    <w:abstractNumId w:val="8"/>
  </w:num>
  <w:num w:numId="10">
    <w:abstractNumId w:val="11"/>
  </w:num>
  <w:num w:numId="11">
    <w:abstractNumId w:val="2"/>
  </w:num>
  <w:num w:numId="12">
    <w:abstractNumId w:val="7"/>
  </w:num>
  <w:num w:numId="13">
    <w:abstractNumId w:val="9"/>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56AA"/>
    <w:rsid w:val="00007B2C"/>
    <w:rsid w:val="00010435"/>
    <w:rsid w:val="000173E8"/>
    <w:rsid w:val="00021FD9"/>
    <w:rsid w:val="0002746A"/>
    <w:rsid w:val="000327B3"/>
    <w:rsid w:val="00032CDB"/>
    <w:rsid w:val="000419A1"/>
    <w:rsid w:val="000424DB"/>
    <w:rsid w:val="00046D9C"/>
    <w:rsid w:val="000554EC"/>
    <w:rsid w:val="00057570"/>
    <w:rsid w:val="0007287A"/>
    <w:rsid w:val="00076AFC"/>
    <w:rsid w:val="00080D8D"/>
    <w:rsid w:val="00082C3C"/>
    <w:rsid w:val="00096232"/>
    <w:rsid w:val="00097C83"/>
    <w:rsid w:val="000A1865"/>
    <w:rsid w:val="000A4174"/>
    <w:rsid w:val="000A4EAF"/>
    <w:rsid w:val="000A6348"/>
    <w:rsid w:val="000A7174"/>
    <w:rsid w:val="000B0C37"/>
    <w:rsid w:val="000B1B88"/>
    <w:rsid w:val="000B2E69"/>
    <w:rsid w:val="000B6DE4"/>
    <w:rsid w:val="000C07D4"/>
    <w:rsid w:val="000C4E37"/>
    <w:rsid w:val="000F7A25"/>
    <w:rsid w:val="001033BB"/>
    <w:rsid w:val="00105A8B"/>
    <w:rsid w:val="00116B64"/>
    <w:rsid w:val="00117C94"/>
    <w:rsid w:val="001211DC"/>
    <w:rsid w:val="001255FA"/>
    <w:rsid w:val="00126569"/>
    <w:rsid w:val="0013020C"/>
    <w:rsid w:val="001426D0"/>
    <w:rsid w:val="0014583D"/>
    <w:rsid w:val="001550E5"/>
    <w:rsid w:val="00155AC2"/>
    <w:rsid w:val="001660DB"/>
    <w:rsid w:val="00181523"/>
    <w:rsid w:val="0018299E"/>
    <w:rsid w:val="0018792C"/>
    <w:rsid w:val="001948B2"/>
    <w:rsid w:val="001A12FB"/>
    <w:rsid w:val="001A2764"/>
    <w:rsid w:val="001A4180"/>
    <w:rsid w:val="001A4B75"/>
    <w:rsid w:val="001A5D87"/>
    <w:rsid w:val="001A7494"/>
    <w:rsid w:val="001A7FEC"/>
    <w:rsid w:val="001B2BEC"/>
    <w:rsid w:val="001B6E16"/>
    <w:rsid w:val="001B7983"/>
    <w:rsid w:val="001C1CE3"/>
    <w:rsid w:val="001C3A48"/>
    <w:rsid w:val="001D22AB"/>
    <w:rsid w:val="001D27DF"/>
    <w:rsid w:val="001D2FA7"/>
    <w:rsid w:val="001E04DA"/>
    <w:rsid w:val="001E0FE2"/>
    <w:rsid w:val="001E1451"/>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47804"/>
    <w:rsid w:val="002538DD"/>
    <w:rsid w:val="00285FB1"/>
    <w:rsid w:val="00292B2C"/>
    <w:rsid w:val="00297E2C"/>
    <w:rsid w:val="002A1419"/>
    <w:rsid w:val="002A167D"/>
    <w:rsid w:val="002B6584"/>
    <w:rsid w:val="002B7FB8"/>
    <w:rsid w:val="002C0484"/>
    <w:rsid w:val="002C0C3F"/>
    <w:rsid w:val="002C5B7D"/>
    <w:rsid w:val="002C650A"/>
    <w:rsid w:val="002D3E58"/>
    <w:rsid w:val="002D754C"/>
    <w:rsid w:val="002E16CB"/>
    <w:rsid w:val="002E4F95"/>
    <w:rsid w:val="00320F61"/>
    <w:rsid w:val="00326516"/>
    <w:rsid w:val="003325FA"/>
    <w:rsid w:val="00336705"/>
    <w:rsid w:val="003403BD"/>
    <w:rsid w:val="0035010D"/>
    <w:rsid w:val="00354A3A"/>
    <w:rsid w:val="003745FB"/>
    <w:rsid w:val="00374B59"/>
    <w:rsid w:val="003755E7"/>
    <w:rsid w:val="00392504"/>
    <w:rsid w:val="003939BC"/>
    <w:rsid w:val="003A0428"/>
    <w:rsid w:val="003A1EEF"/>
    <w:rsid w:val="003B33EC"/>
    <w:rsid w:val="003C1C87"/>
    <w:rsid w:val="003C392D"/>
    <w:rsid w:val="003C4E88"/>
    <w:rsid w:val="003C7B7A"/>
    <w:rsid w:val="003E10EA"/>
    <w:rsid w:val="00417841"/>
    <w:rsid w:val="004351A8"/>
    <w:rsid w:val="004437B6"/>
    <w:rsid w:val="004441A6"/>
    <w:rsid w:val="004447B9"/>
    <w:rsid w:val="00445705"/>
    <w:rsid w:val="00463CE5"/>
    <w:rsid w:val="00464B62"/>
    <w:rsid w:val="004759D7"/>
    <w:rsid w:val="00480EB8"/>
    <w:rsid w:val="00484CCF"/>
    <w:rsid w:val="004933C9"/>
    <w:rsid w:val="004A3A1F"/>
    <w:rsid w:val="004C138C"/>
    <w:rsid w:val="004C26B3"/>
    <w:rsid w:val="004E764D"/>
    <w:rsid w:val="004F6887"/>
    <w:rsid w:val="004F7AC8"/>
    <w:rsid w:val="00512D54"/>
    <w:rsid w:val="00515388"/>
    <w:rsid w:val="00517F59"/>
    <w:rsid w:val="00522012"/>
    <w:rsid w:val="005247D7"/>
    <w:rsid w:val="005266FA"/>
    <w:rsid w:val="005306A2"/>
    <w:rsid w:val="0053637E"/>
    <w:rsid w:val="00542CF8"/>
    <w:rsid w:val="00546090"/>
    <w:rsid w:val="0054631C"/>
    <w:rsid w:val="005476F2"/>
    <w:rsid w:val="00563EEE"/>
    <w:rsid w:val="0056475E"/>
    <w:rsid w:val="00566E32"/>
    <w:rsid w:val="0058046C"/>
    <w:rsid w:val="00587AC9"/>
    <w:rsid w:val="00597806"/>
    <w:rsid w:val="005A5896"/>
    <w:rsid w:val="005A718A"/>
    <w:rsid w:val="005B3F30"/>
    <w:rsid w:val="005B6CC3"/>
    <w:rsid w:val="005C792B"/>
    <w:rsid w:val="005D2FF0"/>
    <w:rsid w:val="005E6190"/>
    <w:rsid w:val="005F18AF"/>
    <w:rsid w:val="005F2F75"/>
    <w:rsid w:val="005F6717"/>
    <w:rsid w:val="00611507"/>
    <w:rsid w:val="00623B8E"/>
    <w:rsid w:val="006326DC"/>
    <w:rsid w:val="006463FF"/>
    <w:rsid w:val="00651710"/>
    <w:rsid w:val="00661242"/>
    <w:rsid w:val="00664323"/>
    <w:rsid w:val="00675790"/>
    <w:rsid w:val="0068267D"/>
    <w:rsid w:val="00692087"/>
    <w:rsid w:val="00694053"/>
    <w:rsid w:val="00696DC5"/>
    <w:rsid w:val="006A4A3D"/>
    <w:rsid w:val="006A4C7A"/>
    <w:rsid w:val="006B42C8"/>
    <w:rsid w:val="006B6418"/>
    <w:rsid w:val="006C21F6"/>
    <w:rsid w:val="006C52E0"/>
    <w:rsid w:val="006C5BCC"/>
    <w:rsid w:val="006D3B0D"/>
    <w:rsid w:val="006D3BE3"/>
    <w:rsid w:val="006D6C32"/>
    <w:rsid w:val="006E05AC"/>
    <w:rsid w:val="006E6450"/>
    <w:rsid w:val="006E677C"/>
    <w:rsid w:val="006E73BB"/>
    <w:rsid w:val="006F2DF9"/>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53CE"/>
    <w:rsid w:val="0079758C"/>
    <w:rsid w:val="007A0550"/>
    <w:rsid w:val="007A3859"/>
    <w:rsid w:val="007A557C"/>
    <w:rsid w:val="007B3A98"/>
    <w:rsid w:val="007B580B"/>
    <w:rsid w:val="007C5AED"/>
    <w:rsid w:val="007D0030"/>
    <w:rsid w:val="007D27F2"/>
    <w:rsid w:val="007D4C2B"/>
    <w:rsid w:val="007F48A5"/>
    <w:rsid w:val="0080195C"/>
    <w:rsid w:val="008040ED"/>
    <w:rsid w:val="00812CA9"/>
    <w:rsid w:val="008137C0"/>
    <w:rsid w:val="00821B3D"/>
    <w:rsid w:val="00821F4C"/>
    <w:rsid w:val="00826B08"/>
    <w:rsid w:val="0083399D"/>
    <w:rsid w:val="00841B58"/>
    <w:rsid w:val="00850BFE"/>
    <w:rsid w:val="00860251"/>
    <w:rsid w:val="00865687"/>
    <w:rsid w:val="00865ACC"/>
    <w:rsid w:val="00876D53"/>
    <w:rsid w:val="0088161D"/>
    <w:rsid w:val="0088436D"/>
    <w:rsid w:val="008A1B93"/>
    <w:rsid w:val="008A350D"/>
    <w:rsid w:val="008C6B40"/>
    <w:rsid w:val="008C7009"/>
    <w:rsid w:val="008C76B2"/>
    <w:rsid w:val="008E43FF"/>
    <w:rsid w:val="008F48DE"/>
    <w:rsid w:val="00907EE8"/>
    <w:rsid w:val="00910B2B"/>
    <w:rsid w:val="009146D1"/>
    <w:rsid w:val="00914B54"/>
    <w:rsid w:val="00915B4B"/>
    <w:rsid w:val="00925D37"/>
    <w:rsid w:val="009313BE"/>
    <w:rsid w:val="00931959"/>
    <w:rsid w:val="00943505"/>
    <w:rsid w:val="00947E53"/>
    <w:rsid w:val="0095564D"/>
    <w:rsid w:val="00962E82"/>
    <w:rsid w:val="00973434"/>
    <w:rsid w:val="00973D7F"/>
    <w:rsid w:val="00980F3D"/>
    <w:rsid w:val="009812E4"/>
    <w:rsid w:val="00993FE3"/>
    <w:rsid w:val="0099616F"/>
    <w:rsid w:val="00997746"/>
    <w:rsid w:val="009A0502"/>
    <w:rsid w:val="009A11AA"/>
    <w:rsid w:val="009A5255"/>
    <w:rsid w:val="009A5B0D"/>
    <w:rsid w:val="009B0BE0"/>
    <w:rsid w:val="009B3349"/>
    <w:rsid w:val="009C5079"/>
    <w:rsid w:val="009D1DE9"/>
    <w:rsid w:val="009D2751"/>
    <w:rsid w:val="009D5588"/>
    <w:rsid w:val="009D56E6"/>
    <w:rsid w:val="009D6277"/>
    <w:rsid w:val="009D7C93"/>
    <w:rsid w:val="009F74AC"/>
    <w:rsid w:val="00A00DBC"/>
    <w:rsid w:val="00A039B2"/>
    <w:rsid w:val="00A07D43"/>
    <w:rsid w:val="00A15E58"/>
    <w:rsid w:val="00A17864"/>
    <w:rsid w:val="00A22952"/>
    <w:rsid w:val="00A276B0"/>
    <w:rsid w:val="00A30143"/>
    <w:rsid w:val="00A40D48"/>
    <w:rsid w:val="00A5490D"/>
    <w:rsid w:val="00A55295"/>
    <w:rsid w:val="00A5651A"/>
    <w:rsid w:val="00A60258"/>
    <w:rsid w:val="00A609E3"/>
    <w:rsid w:val="00A61E1B"/>
    <w:rsid w:val="00A63109"/>
    <w:rsid w:val="00A63EF0"/>
    <w:rsid w:val="00A6635A"/>
    <w:rsid w:val="00A668F6"/>
    <w:rsid w:val="00A770F0"/>
    <w:rsid w:val="00A7789F"/>
    <w:rsid w:val="00A81C55"/>
    <w:rsid w:val="00A81F29"/>
    <w:rsid w:val="00A824AB"/>
    <w:rsid w:val="00A84272"/>
    <w:rsid w:val="00A96E23"/>
    <w:rsid w:val="00A97EFD"/>
    <w:rsid w:val="00AB5BDD"/>
    <w:rsid w:val="00AC4F2A"/>
    <w:rsid w:val="00AC6610"/>
    <w:rsid w:val="00AC6BC9"/>
    <w:rsid w:val="00AD01FF"/>
    <w:rsid w:val="00B000C4"/>
    <w:rsid w:val="00B00917"/>
    <w:rsid w:val="00B14710"/>
    <w:rsid w:val="00B258B3"/>
    <w:rsid w:val="00B26C07"/>
    <w:rsid w:val="00B27A40"/>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E3867"/>
    <w:rsid w:val="00BF437E"/>
    <w:rsid w:val="00BF5DF6"/>
    <w:rsid w:val="00C05005"/>
    <w:rsid w:val="00C3346C"/>
    <w:rsid w:val="00C340C6"/>
    <w:rsid w:val="00C448D7"/>
    <w:rsid w:val="00C46F27"/>
    <w:rsid w:val="00C5292F"/>
    <w:rsid w:val="00C66202"/>
    <w:rsid w:val="00C67EB7"/>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55DE2"/>
    <w:rsid w:val="00D60D12"/>
    <w:rsid w:val="00D61337"/>
    <w:rsid w:val="00D620AC"/>
    <w:rsid w:val="00D64F48"/>
    <w:rsid w:val="00D672A7"/>
    <w:rsid w:val="00D70B86"/>
    <w:rsid w:val="00D73356"/>
    <w:rsid w:val="00D8539B"/>
    <w:rsid w:val="00D90216"/>
    <w:rsid w:val="00DA12A6"/>
    <w:rsid w:val="00DA4038"/>
    <w:rsid w:val="00DA5B5F"/>
    <w:rsid w:val="00DB1FA3"/>
    <w:rsid w:val="00DB7739"/>
    <w:rsid w:val="00DC3687"/>
    <w:rsid w:val="00DF47D7"/>
    <w:rsid w:val="00E0347C"/>
    <w:rsid w:val="00E162A0"/>
    <w:rsid w:val="00E162AE"/>
    <w:rsid w:val="00E16F52"/>
    <w:rsid w:val="00E201D7"/>
    <w:rsid w:val="00E2525C"/>
    <w:rsid w:val="00E34C92"/>
    <w:rsid w:val="00E354D1"/>
    <w:rsid w:val="00E36F6E"/>
    <w:rsid w:val="00E42D77"/>
    <w:rsid w:val="00E467F5"/>
    <w:rsid w:val="00E4681B"/>
    <w:rsid w:val="00E50FD6"/>
    <w:rsid w:val="00E60611"/>
    <w:rsid w:val="00E61600"/>
    <w:rsid w:val="00E628A8"/>
    <w:rsid w:val="00E63126"/>
    <w:rsid w:val="00E71959"/>
    <w:rsid w:val="00E81315"/>
    <w:rsid w:val="00E81C6D"/>
    <w:rsid w:val="00E84D83"/>
    <w:rsid w:val="00E97B55"/>
    <w:rsid w:val="00EA0B23"/>
    <w:rsid w:val="00EA2E09"/>
    <w:rsid w:val="00EA3878"/>
    <w:rsid w:val="00EB6705"/>
    <w:rsid w:val="00EC26EB"/>
    <w:rsid w:val="00EE70DF"/>
    <w:rsid w:val="00EE7BF3"/>
    <w:rsid w:val="00EF069E"/>
    <w:rsid w:val="00EF110B"/>
    <w:rsid w:val="00F02B1E"/>
    <w:rsid w:val="00F14452"/>
    <w:rsid w:val="00F24C90"/>
    <w:rsid w:val="00F27DC6"/>
    <w:rsid w:val="00F3234F"/>
    <w:rsid w:val="00F432A0"/>
    <w:rsid w:val="00F47AC9"/>
    <w:rsid w:val="00F600F6"/>
    <w:rsid w:val="00F602BD"/>
    <w:rsid w:val="00F602CF"/>
    <w:rsid w:val="00F6667F"/>
    <w:rsid w:val="00F740AA"/>
    <w:rsid w:val="00F81260"/>
    <w:rsid w:val="00F82154"/>
    <w:rsid w:val="00F86A59"/>
    <w:rsid w:val="00F9105F"/>
    <w:rsid w:val="00F96DC6"/>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Sunday KALISA</cp:lastModifiedBy>
  <cp:revision>2</cp:revision>
  <dcterms:created xsi:type="dcterms:W3CDTF">2024-03-08T07:38:00Z</dcterms:created>
  <dcterms:modified xsi:type="dcterms:W3CDTF">2024-03-08T07:38:00Z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