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Address the question </w:t>
      </w:r>
      <w:proofErr w:type="gramStart"/>
      <w:r w:rsidRPr="00EB6705">
        <w:rPr>
          <w:rFonts w:ascii="Open Sans" w:hAnsi="Open Sans" w:cs="Open Sans"/>
          <w:sz w:val="20"/>
          <w:szCs w:val="20"/>
          <w:lang w:val="en-US"/>
        </w:rPr>
        <w:t>asked;</w:t>
      </w:r>
      <w:proofErr w:type="gramEnd"/>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Contain a clear explanation to support the response provided, whether this is agreeing or otherwise with any proposals </w:t>
      </w:r>
      <w:proofErr w:type="gramStart"/>
      <w:r w:rsidRPr="00EB6705">
        <w:rPr>
          <w:rFonts w:ascii="Open Sans" w:hAnsi="Open Sans" w:cs="Open Sans"/>
          <w:sz w:val="20"/>
          <w:szCs w:val="20"/>
          <w:lang w:val="en-US"/>
        </w:rPr>
        <w:t>made;</w:t>
      </w:r>
      <w:proofErr w:type="gramEnd"/>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Propose alternatives for consideration, where responses are not in agreement with the proposal </w:t>
      </w:r>
      <w:proofErr w:type="gramStart"/>
      <w:r w:rsidRPr="00EB6705">
        <w:rPr>
          <w:rFonts w:ascii="Open Sans" w:hAnsi="Open Sans" w:cs="Open Sans"/>
          <w:sz w:val="20"/>
          <w:szCs w:val="20"/>
          <w:lang w:val="en-US"/>
        </w:rPr>
        <w:t>made;</w:t>
      </w:r>
      <w:proofErr w:type="gramEnd"/>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 xml:space="preserve">do not need to answer all </w:t>
      </w:r>
      <w:proofErr w:type="gramStart"/>
      <w:r w:rsidR="00082C3C" w:rsidRPr="00EB6705">
        <w:rPr>
          <w:rFonts w:ascii="Open Sans" w:hAnsi="Open Sans" w:cs="Open Sans"/>
          <w:sz w:val="20"/>
          <w:szCs w:val="20"/>
          <w:lang w:val="en-US"/>
        </w:rPr>
        <w:t>questions</w:t>
      </w:r>
      <w:proofErr w:type="gramEnd"/>
      <w:r w:rsidR="00082C3C" w:rsidRPr="00EB6705">
        <w:rPr>
          <w:rFonts w:ascii="Open Sans" w:hAnsi="Open Sans" w:cs="Open Sans"/>
          <w:sz w:val="20"/>
          <w:szCs w:val="20"/>
          <w:lang w:val="en-US"/>
        </w:rPr>
        <w:t xml:space="preserve">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proofErr w:type="gramStart"/>
      <w:r w:rsidRPr="00EB6705">
        <w:rPr>
          <w:rStyle w:val="Hyperlink"/>
          <w:rFonts w:ascii="Open Sans" w:hAnsi="Open Sans" w:cs="Open Sans"/>
          <w:sz w:val="20"/>
          <w:szCs w:val="20"/>
          <w:lang w:val="en-US"/>
        </w:rPr>
        <w:t>say</w:t>
      </w:r>
      <w:proofErr w:type="gramEnd"/>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3806A0D" w:rsidR="00F6667F" w:rsidRPr="00EB6705" w:rsidRDefault="002C0E6C">
            <w:pPr>
              <w:rPr>
                <w:rFonts w:ascii="Open Sans" w:hAnsi="Open Sans" w:cs="Open Sans"/>
                <w:sz w:val="20"/>
                <w:szCs w:val="20"/>
              </w:rPr>
            </w:pPr>
            <w:r>
              <w:rPr>
                <w:rFonts w:ascii="Open Sans" w:hAnsi="Open Sans" w:cs="Open Sans"/>
                <w:sz w:val="20"/>
                <w:szCs w:val="20"/>
              </w:rPr>
              <w:t>Mark</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28C1DCB8" w:rsidR="00F6667F" w:rsidRPr="00EB6705" w:rsidRDefault="002C0E6C">
            <w:pPr>
              <w:rPr>
                <w:rFonts w:ascii="Open Sans" w:hAnsi="Open Sans" w:cs="Open Sans"/>
                <w:sz w:val="20"/>
                <w:szCs w:val="20"/>
              </w:rPr>
            </w:pPr>
            <w:r>
              <w:rPr>
                <w:rFonts w:ascii="Open Sans" w:hAnsi="Open Sans" w:cs="Open Sans"/>
                <w:sz w:val="20"/>
                <w:szCs w:val="20"/>
              </w:rPr>
              <w:t>Self-employed</w:t>
            </w:r>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76CA1B9E" w:rsidR="00DB7739" w:rsidRPr="00EB6705" w:rsidRDefault="002C0E6C">
            <w:pPr>
              <w:rPr>
                <w:rFonts w:ascii="Open Sans" w:hAnsi="Open Sans" w:cs="Open Sans"/>
                <w:sz w:val="20"/>
                <w:szCs w:val="20"/>
              </w:rPr>
            </w:pPr>
            <w:r>
              <w:rPr>
                <w:rFonts w:ascii="Open Sans" w:hAnsi="Open Sans" w:cs="Open Sans"/>
                <w:sz w:val="20"/>
                <w:szCs w:val="20"/>
              </w:rPr>
              <w:t>Jerome</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66FCC4EF" w:rsidR="00DB7739" w:rsidRPr="00EB6705" w:rsidRDefault="002C0E6C">
            <w:pPr>
              <w:rPr>
                <w:rFonts w:ascii="Open Sans" w:hAnsi="Open Sans" w:cs="Open Sans"/>
                <w:sz w:val="20"/>
                <w:szCs w:val="20"/>
              </w:rPr>
            </w:pPr>
            <w:r>
              <w:rPr>
                <w:rFonts w:ascii="Open Sans" w:hAnsi="Open Sans" w:cs="Open Sans"/>
                <w:sz w:val="20"/>
                <w:szCs w:val="20"/>
              </w:rPr>
              <w:t>As an individual</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3BC8FD05" w:rsidR="000C4E37" w:rsidRDefault="00000000" w:rsidP="000C4E37">
            <w:pPr>
              <w:rPr>
                <w:rFonts w:ascii="Open Sans" w:hAnsi="Open Sans" w:cs="Open Sans"/>
                <w:sz w:val="20"/>
                <w:szCs w:val="20"/>
              </w:rPr>
            </w:pPr>
            <w:hyperlink r:id="rId13" w:history="1">
              <w:r w:rsidR="002C0E6C" w:rsidRPr="00CE6F73">
                <w:rPr>
                  <w:rStyle w:val="Hyperlink"/>
                  <w:rFonts w:ascii="Open Sans" w:hAnsi="Open Sans" w:cs="Open Sans"/>
                  <w:sz w:val="20"/>
                  <w:szCs w:val="20"/>
                </w:rPr>
                <w:t>Markjerome1959@gmail.com</w:t>
              </w:r>
            </w:hyperlink>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754FAB36" w:rsidR="000C4E37" w:rsidRPr="00EB6705" w:rsidRDefault="002C0E6C" w:rsidP="000C4E37">
            <w:pPr>
              <w:rPr>
                <w:rFonts w:ascii="Open Sans" w:hAnsi="Open Sans" w:cs="Open Sans"/>
                <w:sz w:val="20"/>
                <w:szCs w:val="20"/>
              </w:rPr>
            </w:pPr>
            <w:r>
              <w:rPr>
                <w:rFonts w:ascii="Open Sans" w:hAnsi="Open Sans" w:cs="Open Sans"/>
                <w:sz w:val="20"/>
                <w:szCs w:val="20"/>
              </w:rPr>
              <w:t>Vietnam</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28236397" w:rsidR="000C4E37" w:rsidRPr="00EB6705" w:rsidRDefault="002C0E6C" w:rsidP="000C4E37">
            <w:pPr>
              <w:rPr>
                <w:rFonts w:ascii="Open Sans" w:hAnsi="Open Sans" w:cs="Open Sans"/>
                <w:sz w:val="20"/>
                <w:szCs w:val="20"/>
              </w:rPr>
            </w:pPr>
            <w:r>
              <w:rPr>
                <w:rFonts w:ascii="Open Sans" w:hAnsi="Open Sans" w:cs="Open Sans"/>
                <w:sz w:val="20"/>
                <w:szCs w:val="20"/>
              </w:rPr>
              <w:t>Self-employed / conmsultant</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ie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35AE1A56" w14:textId="160CD29D" w:rsidR="000C4E37" w:rsidRPr="00EB6705" w:rsidRDefault="002C0E6C" w:rsidP="000C4E37">
            <w:pPr>
              <w:rPr>
                <w:rFonts w:ascii="Open Sans" w:hAnsi="Open Sans" w:cs="Open Sans"/>
                <w:sz w:val="20"/>
                <w:szCs w:val="20"/>
              </w:rPr>
            </w:pPr>
            <w:r>
              <w:rPr>
                <w:rFonts w:ascii="Open Sans" w:hAnsi="Open Sans" w:cs="Open Sans"/>
                <w:sz w:val="20"/>
                <w:szCs w:val="20"/>
              </w:rPr>
              <w:t>Auditor / advisor</w:t>
            </w: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2C0E6C" w:rsidRDefault="006C21F6" w:rsidP="00B9538E">
            <w:pPr>
              <w:rPr>
                <w:rFonts w:ascii="Open Sans" w:hAnsi="Open Sans" w:cs="Open Sans"/>
                <w:b/>
                <w:color w:val="000000"/>
                <w:sz w:val="20"/>
                <w:szCs w:val="20"/>
              </w:rPr>
            </w:pPr>
            <w:r w:rsidRPr="002C0E6C">
              <w:rPr>
                <w:rFonts w:ascii="Open Sans" w:hAnsi="Open Sans" w:cs="Open Sans"/>
                <w:b/>
                <w:color w:val="000000"/>
                <w:sz w:val="20"/>
                <w:szCs w:val="20"/>
                <w:highlight w:val="yellow"/>
              </w:rPr>
              <w:t>Agree</w:t>
            </w:r>
          </w:p>
          <w:p w14:paraId="47BD80E9" w14:textId="7D65B3C3" w:rsidR="006C21F6" w:rsidRPr="002C0E6C" w:rsidRDefault="006C21F6" w:rsidP="00B9538E">
            <w:pPr>
              <w:rPr>
                <w:rFonts w:ascii="Open Sans" w:hAnsi="Open Sans" w:cs="Open Sans"/>
                <w:bCs/>
                <w:strike/>
                <w:color w:val="000000"/>
                <w:sz w:val="20"/>
                <w:szCs w:val="20"/>
              </w:rPr>
            </w:pPr>
            <w:r w:rsidRPr="002C0E6C">
              <w:rPr>
                <w:rFonts w:ascii="Open Sans" w:hAnsi="Open Sans" w:cs="Open Sans"/>
                <w:bCs/>
                <w:strike/>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4"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0F6DBFAF" w14:textId="77777777" w:rsidR="00A7789F" w:rsidRDefault="00A43C50" w:rsidP="00A959C4">
            <w:pPr>
              <w:jc w:val="both"/>
              <w:rPr>
                <w:rFonts w:ascii="Open Sans" w:hAnsi="Open Sans" w:cs="Open Sans"/>
                <w:b/>
                <w:bCs/>
                <w:sz w:val="20"/>
                <w:szCs w:val="20"/>
                <w:lang w:val="en-US"/>
              </w:rPr>
            </w:pPr>
            <w:r>
              <w:rPr>
                <w:rFonts w:ascii="Open Sans" w:hAnsi="Open Sans" w:cs="Open Sans"/>
                <w:b/>
                <w:bCs/>
                <w:sz w:val="20"/>
                <w:szCs w:val="20"/>
                <w:lang w:val="en-US"/>
              </w:rPr>
              <w:t xml:space="preserve">I agree.  However, I have </w:t>
            </w:r>
            <w:proofErr w:type="gramStart"/>
            <w:r>
              <w:rPr>
                <w:rFonts w:ascii="Open Sans" w:hAnsi="Open Sans" w:cs="Open Sans"/>
                <w:b/>
                <w:bCs/>
                <w:sz w:val="20"/>
                <w:szCs w:val="20"/>
                <w:lang w:val="en-US"/>
              </w:rPr>
              <w:t>a number of</w:t>
            </w:r>
            <w:proofErr w:type="gramEnd"/>
            <w:r>
              <w:rPr>
                <w:rFonts w:ascii="Open Sans" w:hAnsi="Open Sans" w:cs="Open Sans"/>
                <w:b/>
                <w:bCs/>
                <w:sz w:val="20"/>
                <w:szCs w:val="20"/>
                <w:lang w:val="en-US"/>
              </w:rPr>
              <w:t xml:space="preserve"> comments on the details of Section 11, as follows:</w:t>
            </w:r>
          </w:p>
          <w:p w14:paraId="7A2949B8" w14:textId="12C393BA" w:rsidR="00A43C50" w:rsidRDefault="00A43C50"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In Section </w:t>
            </w:r>
            <w:r w:rsidR="00B56579">
              <w:rPr>
                <w:rFonts w:ascii="Open Sans" w:hAnsi="Open Sans" w:cs="Open Sans"/>
                <w:b/>
                <w:bCs/>
                <w:sz w:val="20"/>
                <w:szCs w:val="20"/>
                <w:lang w:val="en-US"/>
              </w:rPr>
              <w:t>G</w:t>
            </w:r>
            <w:r>
              <w:rPr>
                <w:rFonts w:ascii="Open Sans" w:hAnsi="Open Sans" w:cs="Open Sans"/>
                <w:b/>
                <w:bCs/>
                <w:sz w:val="20"/>
                <w:szCs w:val="20"/>
                <w:lang w:val="en-US"/>
              </w:rPr>
              <w:t>11.8(a)(iii), I recommend replacing “is equal to” with “is equal to or has a fixed relationship with”.  This should make it clear that rates such as SONIA+1/2% are covered.</w:t>
            </w:r>
          </w:p>
          <w:p w14:paraId="7E14221A" w14:textId="74070A61" w:rsidR="00A43C50" w:rsidRDefault="00A43C50"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In Section </w:t>
            </w:r>
            <w:r w:rsidR="00B56579">
              <w:rPr>
                <w:rFonts w:ascii="Open Sans" w:hAnsi="Open Sans" w:cs="Open Sans"/>
                <w:b/>
                <w:bCs/>
                <w:sz w:val="20"/>
                <w:szCs w:val="20"/>
                <w:lang w:val="en-US"/>
              </w:rPr>
              <w:t>G</w:t>
            </w:r>
            <w:r>
              <w:rPr>
                <w:rFonts w:ascii="Open Sans" w:hAnsi="Open Sans" w:cs="Open Sans"/>
                <w:b/>
                <w:bCs/>
                <w:sz w:val="20"/>
                <w:szCs w:val="20"/>
                <w:lang w:val="en-US"/>
              </w:rPr>
              <w:t>11.26, I recommend replacing “includes observable data” with “includes, but is not limited to, observable data”.</w:t>
            </w:r>
          </w:p>
          <w:p w14:paraId="0BEFD96A" w14:textId="4D2613D6" w:rsidR="00A43C50" w:rsidRDefault="00A43C50"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In Section </w:t>
            </w:r>
            <w:r w:rsidR="00B56579">
              <w:rPr>
                <w:rFonts w:ascii="Open Sans" w:hAnsi="Open Sans" w:cs="Open Sans"/>
                <w:b/>
                <w:bCs/>
                <w:sz w:val="20"/>
                <w:szCs w:val="20"/>
                <w:lang w:val="en-US"/>
              </w:rPr>
              <w:t>G</w:t>
            </w:r>
            <w:r>
              <w:rPr>
                <w:rFonts w:ascii="Open Sans" w:hAnsi="Open Sans" w:cs="Open Sans"/>
                <w:b/>
                <w:bCs/>
                <w:sz w:val="20"/>
                <w:szCs w:val="20"/>
                <w:lang w:val="en-US"/>
              </w:rPr>
              <w:t>11.27, I suggest replacing “debtor or creditor” with “debtor, creditor or NPO”.  Given the variety of financing mechanisms for the non-profit sector, it is quite possible that the debtor and creditor may be operating in different environments from the NPO.</w:t>
            </w:r>
          </w:p>
          <w:p w14:paraId="7460539E" w14:textId="48D3E876" w:rsidR="00A43C50" w:rsidRDefault="00A43C50"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In Section </w:t>
            </w:r>
            <w:r w:rsidR="00B56579">
              <w:rPr>
                <w:rFonts w:ascii="Open Sans" w:hAnsi="Open Sans" w:cs="Open Sans"/>
                <w:b/>
                <w:bCs/>
                <w:sz w:val="20"/>
                <w:szCs w:val="20"/>
                <w:lang w:val="en-US"/>
              </w:rPr>
              <w:t>G</w:t>
            </w:r>
            <w:r>
              <w:rPr>
                <w:rFonts w:ascii="Open Sans" w:hAnsi="Open Sans" w:cs="Open Sans"/>
                <w:b/>
                <w:bCs/>
                <w:sz w:val="20"/>
                <w:szCs w:val="20"/>
                <w:lang w:val="en-US"/>
              </w:rPr>
              <w:t>11.30, I suggest replacing “shall reverse” with shall wholly or partially reverse”.</w:t>
            </w:r>
          </w:p>
          <w:p w14:paraId="3F960186" w14:textId="0489CA0B" w:rsidR="00406B3D" w:rsidRDefault="00406B3D"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In Section </w:t>
            </w:r>
            <w:r w:rsidR="00B56579">
              <w:rPr>
                <w:rFonts w:ascii="Open Sans" w:hAnsi="Open Sans" w:cs="Open Sans"/>
                <w:b/>
                <w:bCs/>
                <w:sz w:val="20"/>
                <w:szCs w:val="20"/>
                <w:lang w:val="en-US"/>
              </w:rPr>
              <w:t>G</w:t>
            </w:r>
            <w:r>
              <w:rPr>
                <w:rFonts w:ascii="Open Sans" w:hAnsi="Open Sans" w:cs="Open Sans"/>
                <w:b/>
                <w:bCs/>
                <w:sz w:val="20"/>
                <w:szCs w:val="20"/>
                <w:lang w:val="en-US"/>
              </w:rPr>
              <w:t>11.73, is there any indication as to the limit of a change in fair values or cash flows before a hedge is no longer effective?</w:t>
            </w:r>
          </w:p>
          <w:p w14:paraId="5EF1D752" w14:textId="36FBE21D" w:rsidR="00406B3D" w:rsidRPr="00A43C50" w:rsidRDefault="00406B3D" w:rsidP="00A43C50">
            <w:pPr>
              <w:pStyle w:val="ListParagraph"/>
              <w:numPr>
                <w:ilvl w:val="0"/>
                <w:numId w:val="17"/>
              </w:numPr>
              <w:jc w:val="both"/>
              <w:rPr>
                <w:rFonts w:ascii="Open Sans" w:hAnsi="Open Sans" w:cs="Open Sans"/>
                <w:b/>
                <w:bCs/>
                <w:sz w:val="20"/>
                <w:szCs w:val="20"/>
                <w:lang w:val="en-US"/>
              </w:rPr>
            </w:pPr>
            <w:r>
              <w:rPr>
                <w:rFonts w:ascii="Open Sans" w:hAnsi="Open Sans" w:cs="Open Sans"/>
                <w:b/>
                <w:bCs/>
                <w:sz w:val="20"/>
                <w:szCs w:val="20"/>
                <w:lang w:val="en-US"/>
              </w:rPr>
              <w:t xml:space="preserve">I note that references to share-based payments have been removed and agree they are not expected to be relevant to NPOs.  </w:t>
            </w:r>
            <w:r w:rsidR="00581396">
              <w:rPr>
                <w:rFonts w:ascii="Open Sans" w:hAnsi="Open Sans" w:cs="Open Sans"/>
                <w:b/>
                <w:bCs/>
                <w:sz w:val="20"/>
                <w:szCs w:val="20"/>
                <w:lang w:val="en-US"/>
              </w:rPr>
              <w:t xml:space="preserve">However, it is possible </w:t>
            </w:r>
            <w:r w:rsidR="00581396">
              <w:rPr>
                <w:rFonts w:ascii="Open Sans" w:hAnsi="Open Sans" w:cs="Open Sans"/>
                <w:b/>
                <w:bCs/>
                <w:sz w:val="20"/>
                <w:szCs w:val="20"/>
                <w:lang w:val="en-US"/>
              </w:rPr>
              <w:lastRenderedPageBreak/>
              <w:t>that an NPO could have such payments and I therefore recommend we include a statement that, if share-based payments are made, the relevant provisions of the IFRS for SMEs Accounting Standard shall apply.</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w:t>
            </w:r>
            <w:proofErr w:type="gramStart"/>
            <w:r w:rsidRPr="00661242">
              <w:rPr>
                <w:rFonts w:ascii="Open Sans" w:hAnsi="Open Sans" w:cs="Open Sans"/>
                <w:color w:val="000000" w:themeColor="text1"/>
                <w:sz w:val="20"/>
                <w:szCs w:val="20"/>
              </w:rPr>
              <w:t>measurement</w:t>
            </w:r>
            <w:proofErr w:type="gramEnd"/>
            <w:r w:rsidRPr="00661242">
              <w:rPr>
                <w:rFonts w:ascii="Open Sans" w:hAnsi="Open Sans" w:cs="Open Sans"/>
                <w:color w:val="000000" w:themeColor="text1"/>
                <w:sz w:val="20"/>
                <w:szCs w:val="20"/>
              </w:rPr>
              <w:t xml:space="preserve">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1FEF1FCA" w:rsidR="00FE20EA" w:rsidRPr="00D90216" w:rsidRDefault="00E922E9"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permitted exceptions that allow for certain donated inventories and work in-progress that comprises services to be provided for no </w:t>
            </w:r>
            <w:r>
              <w:rPr>
                <w:rFonts w:ascii="Open Sans" w:hAnsi="Open Sans" w:cs="Open Sans"/>
                <w:sz w:val="20"/>
                <w:szCs w:val="20"/>
              </w:rPr>
              <w:lastRenderedPageBreak/>
              <w:t>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lastRenderedPageBreak/>
              <w:t>G13.2, G13.5 (a)-(c)</w:t>
            </w:r>
          </w:p>
        </w:tc>
        <w:tc>
          <w:tcPr>
            <w:tcW w:w="8173" w:type="dxa"/>
          </w:tcPr>
          <w:p w14:paraId="17E8030D" w14:textId="0B408DF7" w:rsidR="00A7789F" w:rsidRPr="00EB6705" w:rsidRDefault="00E922E9"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0E82A8E1" w:rsidR="00D61337" w:rsidRPr="00EB6705" w:rsidRDefault="00E922E9"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  However, I may want to reconsider this after reviewing Section 12 (Fair Value Measurement) in ED3.</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74C96799" w:rsidR="00D61337" w:rsidRPr="00EB6705" w:rsidRDefault="00E922E9"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  The concept and implications of loss of service potential are explored in detail by IPSAS</w:t>
            </w:r>
            <w:r w:rsidR="001574BE">
              <w:rPr>
                <w:rFonts w:ascii="Open Sans" w:hAnsi="Open Sans" w:cs="Open Sans"/>
                <w:b/>
                <w:bCs/>
                <w:sz w:val="20"/>
                <w:szCs w:val="20"/>
                <w:lang w:val="en-US"/>
              </w:rPr>
              <w:t xml:space="preserve"> 21 (Impairment of non-cash generating assets).  Should this be referred to in the Application Guidance?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5A2C6B0F" w:rsidR="00D61337" w:rsidRPr="00EB6705" w:rsidRDefault="001574BE"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I agree.</w:t>
            </w: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w:t>
            </w:r>
            <w:proofErr w:type="gramStart"/>
            <w:r w:rsidRPr="009146D1">
              <w:rPr>
                <w:rFonts w:ascii="Open Sans" w:hAnsi="Open Sans" w:cs="Open Sans"/>
                <w:color w:val="000000" w:themeColor="text1"/>
                <w:sz w:val="20"/>
                <w:szCs w:val="20"/>
              </w:rPr>
              <w:t>measurement</w:t>
            </w:r>
            <w:proofErr w:type="gramEnd"/>
            <w:r w:rsidRPr="009146D1">
              <w:rPr>
                <w:rFonts w:ascii="Open Sans" w:hAnsi="Open Sans" w:cs="Open Sans"/>
                <w:color w:val="000000" w:themeColor="text1"/>
                <w:sz w:val="20"/>
                <w:szCs w:val="20"/>
              </w:rPr>
              <w:t xml:space="preserve"> and disclosure of provisions (being liabilities of uncertain timing or amount), contingent assets and contingent liabilities. All examples </w:t>
            </w:r>
            <w:proofErr w:type="gramStart"/>
            <w:r w:rsidRPr="009146D1">
              <w:rPr>
                <w:rFonts w:ascii="Open Sans" w:hAnsi="Open Sans" w:cs="Open Sans"/>
                <w:color w:val="000000" w:themeColor="text1"/>
                <w:sz w:val="20"/>
                <w:szCs w:val="20"/>
              </w:rPr>
              <w:t>are located in</w:t>
            </w:r>
            <w:proofErr w:type="gramEnd"/>
            <w:r w:rsidRPr="009146D1">
              <w:rPr>
                <w:rFonts w:ascii="Open Sans" w:hAnsi="Open Sans" w:cs="Open Sans"/>
                <w:color w:val="000000" w:themeColor="text1"/>
                <w:sz w:val="20"/>
                <w:szCs w:val="20"/>
              </w:rPr>
              <w:t xml:space="preserve">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5B5C5B31"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5660B986" w:rsidR="00FE20EA" w:rsidRPr="00EB6705" w:rsidRDefault="00ED0FAB" w:rsidP="00E36F6E">
            <w:pPr>
              <w:rPr>
                <w:rFonts w:ascii="Open Sans" w:hAnsi="Open Sans" w:cs="Open Sans"/>
                <w:b/>
                <w:bCs/>
                <w:sz w:val="20"/>
                <w:szCs w:val="20"/>
                <w:lang w:val="en-US"/>
              </w:rPr>
            </w:pPr>
            <w:r>
              <w:rPr>
                <w:rFonts w:ascii="Open Sans" w:hAnsi="Open Sans" w:cs="Open Sans"/>
                <w:b/>
                <w:bCs/>
                <w:sz w:val="20"/>
                <w:szCs w:val="20"/>
                <w:lang w:val="en-US"/>
              </w:rPr>
              <w:t xml:space="preserve">I agree.  </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w:t>
            </w:r>
            <w:proofErr w:type="gramStart"/>
            <w:r w:rsidRPr="007271BB">
              <w:rPr>
                <w:rFonts w:ascii="Open Sans" w:hAnsi="Open Sans" w:cs="Open Sans"/>
                <w:color w:val="000000" w:themeColor="text1"/>
                <w:sz w:val="20"/>
                <w:szCs w:val="20"/>
              </w:rPr>
              <w:t>measurement</w:t>
            </w:r>
            <w:proofErr w:type="gramEnd"/>
            <w:r w:rsidRPr="007271BB">
              <w:rPr>
                <w:rFonts w:ascii="Open Sans" w:hAnsi="Open Sans" w:cs="Open Sans"/>
                <w:color w:val="000000" w:themeColor="text1"/>
                <w:sz w:val="20"/>
                <w:szCs w:val="20"/>
              </w:rPr>
              <w:t xml:space="preserve">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2CB064AE"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arrangement and enforceable grant obligations and their</w:t>
            </w:r>
            <w:r w:rsidR="00B56579">
              <w:rPr>
                <w:rFonts w:ascii="Open Sans" w:hAnsi="Open Sans" w:cs="Open Sans"/>
                <w:sz w:val="20"/>
                <w:szCs w:val="20"/>
              </w:rPr>
              <w:t xml:space="preserve"> </w:t>
            </w:r>
            <w:r w:rsidR="001574BE">
              <w:rPr>
                <w:rFonts w:ascii="Open Sans" w:hAnsi="Open Sans" w:cs="Open Sans"/>
                <w:sz w:val="20"/>
                <w:szCs w:val="20"/>
              </w:rPr>
              <w:pgNum/>
            </w:r>
            <w:r w:rsidR="00B56579">
              <w:rPr>
                <w:rFonts w:ascii="Open Sans" w:hAnsi="Open Sans" w:cs="Open Sans"/>
                <w:sz w:val="20"/>
                <w:szCs w:val="20"/>
              </w:rPr>
              <w:t>d</w:t>
            </w:r>
            <w:r w:rsidR="001574BE">
              <w:rPr>
                <w:rFonts w:ascii="Open Sans" w:hAnsi="Open Sans" w:cs="Open Sans"/>
                <w:sz w:val="20"/>
                <w:szCs w:val="20"/>
              </w:rPr>
              <w:t>efinitio</w:t>
            </w:r>
            <w:r>
              <w:rPr>
                <w:rFonts w:ascii="Open Sans" w:hAnsi="Open Sans" w:cs="Open Sans"/>
                <w:sz w:val="20"/>
                <w:szCs w:val="20"/>
              </w:rPr>
              <w:t xml:space="preserve">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t>G23.23-G23.30, G24.3-G24.4</w:t>
            </w:r>
          </w:p>
        </w:tc>
        <w:tc>
          <w:tcPr>
            <w:tcW w:w="8282" w:type="dxa"/>
          </w:tcPr>
          <w:p w14:paraId="26E8BBCB" w14:textId="77777777" w:rsidR="00B56579" w:rsidRDefault="00B56579" w:rsidP="00FE20EA">
            <w:pPr>
              <w:rPr>
                <w:rFonts w:ascii="Open Sans" w:hAnsi="Open Sans" w:cs="Open Sans"/>
                <w:b/>
                <w:bCs/>
                <w:sz w:val="20"/>
                <w:szCs w:val="20"/>
                <w:lang w:val="en-US"/>
              </w:rPr>
            </w:pPr>
            <w:r>
              <w:rPr>
                <w:rFonts w:ascii="Open Sans" w:hAnsi="Open Sans" w:cs="Open Sans"/>
                <w:b/>
                <w:bCs/>
                <w:sz w:val="20"/>
                <w:szCs w:val="20"/>
                <w:lang w:val="en-US"/>
              </w:rPr>
              <w:t>I agree with the terms and their definitions, except for the following:</w:t>
            </w:r>
          </w:p>
          <w:p w14:paraId="457982FD" w14:textId="77777777" w:rsidR="00B56579" w:rsidRDefault="00B56579" w:rsidP="00FE20EA">
            <w:pPr>
              <w:rPr>
                <w:rFonts w:ascii="Open Sans" w:hAnsi="Open Sans" w:cs="Open Sans"/>
                <w:b/>
                <w:bCs/>
                <w:sz w:val="20"/>
                <w:szCs w:val="20"/>
                <w:lang w:val="en-US"/>
              </w:rPr>
            </w:pPr>
          </w:p>
          <w:p w14:paraId="1501A078" w14:textId="33CD4F67" w:rsidR="0054631C" w:rsidRPr="00B56579" w:rsidRDefault="00B56579" w:rsidP="00B56579">
            <w:pPr>
              <w:pStyle w:val="ListParagraph"/>
              <w:numPr>
                <w:ilvl w:val="0"/>
                <w:numId w:val="19"/>
              </w:numPr>
              <w:rPr>
                <w:rFonts w:ascii="Open Sans" w:hAnsi="Open Sans" w:cs="Open Sans"/>
                <w:b/>
                <w:bCs/>
                <w:sz w:val="20"/>
                <w:szCs w:val="20"/>
                <w:lang w:val="en-US"/>
              </w:rPr>
            </w:pPr>
            <w:r>
              <w:rPr>
                <w:rFonts w:ascii="Open Sans" w:hAnsi="Open Sans" w:cs="Open Sans"/>
                <w:b/>
                <w:bCs/>
                <w:sz w:val="20"/>
                <w:szCs w:val="20"/>
                <w:lang w:val="en-US"/>
              </w:rPr>
              <w:t>In Section G23.26, the “or” at the end of the second bullet should be “and/or”.</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structure of Section 23, with Part I focused on grants and donations, Part II focused on contracts with customers and a preface that brings together the key principles and information about how to navigate the </w:t>
            </w:r>
            <w:r>
              <w:rPr>
                <w:rFonts w:ascii="Open Sans" w:hAnsi="Open Sans" w:cs="Open Sans"/>
                <w:sz w:val="20"/>
                <w:szCs w:val="20"/>
              </w:rPr>
              <w:lastRenderedPageBreak/>
              <w:t>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lastRenderedPageBreak/>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748921D4" w:rsidR="0054631C" w:rsidRPr="00EB6705" w:rsidRDefault="00B56579"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76556F36" w14:textId="77777777" w:rsidR="00FE20EA" w:rsidRDefault="00B56579" w:rsidP="00FE20EA">
            <w:pPr>
              <w:rPr>
                <w:rFonts w:ascii="Open Sans" w:hAnsi="Open Sans" w:cs="Open Sans"/>
                <w:b/>
                <w:bCs/>
                <w:sz w:val="20"/>
                <w:szCs w:val="20"/>
                <w:lang w:val="en-US"/>
              </w:rPr>
            </w:pPr>
            <w:r>
              <w:rPr>
                <w:rFonts w:ascii="Open Sans" w:hAnsi="Open Sans" w:cs="Open Sans"/>
                <w:b/>
                <w:bCs/>
                <w:sz w:val="20"/>
                <w:szCs w:val="20"/>
                <w:lang w:val="en-US"/>
              </w:rPr>
              <w:t>I agree.</w:t>
            </w:r>
          </w:p>
          <w:p w14:paraId="5D868BCB" w14:textId="77777777" w:rsidR="00B56579" w:rsidRDefault="00B56579" w:rsidP="00FE20EA">
            <w:pPr>
              <w:rPr>
                <w:rFonts w:ascii="Open Sans" w:hAnsi="Open Sans" w:cs="Open Sans"/>
                <w:b/>
                <w:bCs/>
                <w:sz w:val="20"/>
                <w:szCs w:val="20"/>
                <w:lang w:val="en-US"/>
              </w:rPr>
            </w:pPr>
          </w:p>
          <w:p w14:paraId="7E4CE8A9" w14:textId="168336C2" w:rsidR="00B56579" w:rsidRDefault="00B56579" w:rsidP="00FE20EA">
            <w:pPr>
              <w:rPr>
                <w:rFonts w:ascii="Open Sans" w:hAnsi="Open Sans" w:cs="Open Sans"/>
                <w:b/>
                <w:bCs/>
                <w:sz w:val="20"/>
                <w:szCs w:val="20"/>
                <w:lang w:val="en-US"/>
              </w:rPr>
            </w:pPr>
            <w:r>
              <w:rPr>
                <w:rFonts w:ascii="Open Sans" w:hAnsi="Open Sans" w:cs="Open Sans"/>
                <w:b/>
                <w:bCs/>
                <w:sz w:val="20"/>
                <w:szCs w:val="20"/>
                <w:lang w:val="en-US"/>
              </w:rPr>
              <w:t>I have two comments/questions on Section G23.46:</w:t>
            </w:r>
          </w:p>
          <w:p w14:paraId="77FB08B8" w14:textId="77777777" w:rsidR="00B56579" w:rsidRDefault="00B56579" w:rsidP="00B56579">
            <w:pPr>
              <w:pStyle w:val="ListParagraph"/>
              <w:numPr>
                <w:ilvl w:val="0"/>
                <w:numId w:val="19"/>
              </w:numPr>
              <w:rPr>
                <w:rFonts w:ascii="Open Sans" w:hAnsi="Open Sans" w:cs="Open Sans"/>
                <w:b/>
                <w:bCs/>
                <w:sz w:val="20"/>
                <w:szCs w:val="20"/>
                <w:lang w:val="en-US"/>
              </w:rPr>
            </w:pPr>
            <w:r>
              <w:rPr>
                <w:rFonts w:ascii="Open Sans" w:hAnsi="Open Sans" w:cs="Open Sans"/>
                <w:b/>
                <w:bCs/>
                <w:sz w:val="20"/>
                <w:szCs w:val="20"/>
                <w:lang w:val="en-US"/>
              </w:rPr>
              <w:t>I assume that “and” at the end of G23.46(c) should be “and/or”; and</w:t>
            </w:r>
          </w:p>
          <w:p w14:paraId="2DD1BE5A" w14:textId="14077E1F" w:rsidR="00B56579" w:rsidRPr="00B56579" w:rsidRDefault="00B56579" w:rsidP="00B56579">
            <w:pPr>
              <w:pStyle w:val="ListParagraph"/>
              <w:numPr>
                <w:ilvl w:val="0"/>
                <w:numId w:val="19"/>
              </w:numPr>
              <w:rPr>
                <w:rFonts w:ascii="Open Sans" w:hAnsi="Open Sans" w:cs="Open Sans"/>
                <w:b/>
                <w:bCs/>
                <w:sz w:val="20"/>
                <w:szCs w:val="20"/>
                <w:lang w:val="en-US"/>
              </w:rPr>
            </w:pPr>
            <w:r>
              <w:rPr>
                <w:rFonts w:ascii="Open Sans" w:hAnsi="Open Sans" w:cs="Open Sans"/>
                <w:b/>
                <w:bCs/>
                <w:sz w:val="20"/>
                <w:szCs w:val="20"/>
                <w:lang w:val="en-US"/>
              </w:rPr>
              <w:t>Can different EGOs be defined using different sub-paragraphs?  For example, could one be defined by a specified outcome (G23.46(a)</w:t>
            </w:r>
            <w:r w:rsidR="00A4389E">
              <w:rPr>
                <w:rFonts w:ascii="Open Sans" w:hAnsi="Open Sans" w:cs="Open Sans"/>
                <w:b/>
                <w:bCs/>
                <w:sz w:val="20"/>
                <w:szCs w:val="20"/>
                <w:lang w:val="en-US"/>
              </w:rPr>
              <w:t>)</w:t>
            </w:r>
            <w:r>
              <w:rPr>
                <w:rFonts w:ascii="Open Sans" w:hAnsi="Open Sans" w:cs="Open Sans"/>
                <w:b/>
                <w:bCs/>
                <w:sz w:val="20"/>
                <w:szCs w:val="20"/>
                <w:lang w:val="en-US"/>
              </w:rPr>
              <w:t xml:space="preserve"> and another by </w:t>
            </w:r>
            <w:r w:rsidR="00A4389E">
              <w:rPr>
                <w:rFonts w:ascii="Open Sans" w:hAnsi="Open Sans" w:cs="Open Sans"/>
                <w:b/>
                <w:bCs/>
                <w:sz w:val="20"/>
                <w:szCs w:val="20"/>
                <w:lang w:val="en-US"/>
              </w:rPr>
              <w:t>a distinct internal good (G23.46(d))?</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Do you agree with the allocation methods identified? If not, what 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t>G23.53-G23.56, G23.125-G23.138, AG23.52-AG23.59</w:t>
            </w:r>
          </w:p>
        </w:tc>
        <w:tc>
          <w:tcPr>
            <w:tcW w:w="8282" w:type="dxa"/>
          </w:tcPr>
          <w:p w14:paraId="0C700B35" w14:textId="5D9590CA" w:rsidR="00EF069E" w:rsidRPr="00EB6705" w:rsidRDefault="00A4389E" w:rsidP="00FE20EA">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w:t>
            </w:r>
            <w:proofErr w:type="gramStart"/>
            <w:r w:rsidRPr="00455BD0">
              <w:rPr>
                <w:rFonts w:ascii="Open Sans" w:hAnsi="Open Sans" w:cs="Open Sans"/>
                <w:sz w:val="20"/>
                <w:szCs w:val="20"/>
              </w:rPr>
              <w:t>used</w:t>
            </w:r>
            <w:proofErr w:type="gramEnd"/>
            <w:r w:rsidRPr="00455BD0">
              <w:rPr>
                <w:rFonts w:ascii="Open Sans" w:hAnsi="Open Sans" w:cs="Open Sans"/>
                <w:sz w:val="20"/>
                <w:szCs w:val="20"/>
              </w:rPr>
              <w:t xml:space="preserve">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If not, </w:t>
            </w:r>
            <w:r w:rsidRPr="00455BD0">
              <w:rPr>
                <w:rFonts w:ascii="Open Sans" w:hAnsi="Open Sans" w:cs="Open Sans"/>
                <w:sz w:val="20"/>
                <w:szCs w:val="20"/>
              </w:rPr>
              <w:lastRenderedPageBreak/>
              <w:t>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G23.36, G23.37</w:t>
            </w:r>
          </w:p>
        </w:tc>
        <w:tc>
          <w:tcPr>
            <w:tcW w:w="8282" w:type="dxa"/>
          </w:tcPr>
          <w:p w14:paraId="5BC668D7" w14:textId="3EB9119F" w:rsidR="00B62A32" w:rsidRPr="00EB6705" w:rsidRDefault="00A4389E" w:rsidP="00B62A32">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781748D9" w:rsidR="00B62A32" w:rsidRPr="00EB6705" w:rsidRDefault="00A4389E" w:rsidP="00B62A32">
            <w:pPr>
              <w:rPr>
                <w:rFonts w:ascii="Open Sans" w:hAnsi="Open Sans" w:cs="Open Sans"/>
                <w:b/>
                <w:bCs/>
                <w:sz w:val="20"/>
                <w:szCs w:val="20"/>
                <w:lang w:val="en-US"/>
              </w:rPr>
            </w:pPr>
            <w:r>
              <w:rPr>
                <w:rFonts w:ascii="Open Sans" w:hAnsi="Open Sans" w:cs="Open Sans"/>
                <w:b/>
                <w:bCs/>
                <w:sz w:val="20"/>
                <w:szCs w:val="20"/>
                <w:lang w:val="en-US"/>
              </w:rPr>
              <w:t>I agree.</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03A5B74C" w:rsidR="00B62A32" w:rsidRPr="00EB6705" w:rsidRDefault="00A4389E" w:rsidP="00B62A32">
            <w:pPr>
              <w:rPr>
                <w:rFonts w:ascii="Open Sans" w:hAnsi="Open Sans" w:cs="Open Sans"/>
                <w:b/>
                <w:bCs/>
                <w:sz w:val="20"/>
                <w:szCs w:val="20"/>
                <w:lang w:val="en-US"/>
              </w:rPr>
            </w:pPr>
            <w:r>
              <w:rPr>
                <w:rFonts w:ascii="Open Sans" w:hAnsi="Open Sans" w:cs="Open Sans"/>
                <w:b/>
                <w:bCs/>
                <w:sz w:val="20"/>
                <w:szCs w:val="20"/>
                <w:lang w:val="en-US"/>
              </w:rPr>
              <w:t>I agree.  But I may want to revisit this depending on the provisions on fair value measurement (ED3).</w:t>
            </w:r>
          </w:p>
        </w:tc>
      </w:tr>
      <w:tr w:rsidR="00B62A32" w:rsidRPr="00A4389E"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you agree that administrative tasks are generally not separate individually enforceable obligations, but a means to identify or report on resources in an 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G23.49</w:t>
            </w:r>
          </w:p>
        </w:tc>
        <w:tc>
          <w:tcPr>
            <w:tcW w:w="8282" w:type="dxa"/>
          </w:tcPr>
          <w:p w14:paraId="7D4C19D5" w14:textId="41DDE5F1" w:rsidR="00B62A32" w:rsidRPr="00EB6705" w:rsidRDefault="00A4389E" w:rsidP="00B62A32">
            <w:pPr>
              <w:rPr>
                <w:rFonts w:ascii="Open Sans" w:hAnsi="Open Sans" w:cs="Open Sans"/>
                <w:b/>
                <w:bCs/>
                <w:sz w:val="20"/>
                <w:szCs w:val="20"/>
                <w:lang w:val="en-US"/>
              </w:rPr>
            </w:pPr>
            <w:r>
              <w:rPr>
                <w:rFonts w:ascii="Open Sans" w:hAnsi="Open Sans" w:cs="Open Sans"/>
                <w:b/>
                <w:bCs/>
                <w:sz w:val="20"/>
                <w:szCs w:val="20"/>
                <w:lang w:val="en-US"/>
              </w:rPr>
              <w:t>I agree with this in general, but it should be clear that exceptions may be possible.  For example, I have audited projects in Mongolia</w:t>
            </w:r>
            <w:r w:rsidR="00822FBE">
              <w:rPr>
                <w:rFonts w:ascii="Open Sans" w:hAnsi="Open Sans" w:cs="Open Sans"/>
                <w:b/>
                <w:bCs/>
                <w:sz w:val="20"/>
                <w:szCs w:val="20"/>
                <w:lang w:val="en-US"/>
              </w:rPr>
              <w:t xml:space="preserve"> and Laos</w:t>
            </w:r>
            <w:r>
              <w:rPr>
                <w:rFonts w:ascii="Open Sans" w:hAnsi="Open Sans" w:cs="Open Sans"/>
                <w:b/>
                <w:bCs/>
                <w:sz w:val="20"/>
                <w:szCs w:val="20"/>
                <w:lang w:val="en-US"/>
              </w:rPr>
              <w:t xml:space="preserve"> funded by the IFC, where the beneficiaries (state-owned companies) were required (among other things) to develop the internal systems and processes that would enable them to prepare financial statements in accordance with IFRS.</w:t>
            </w:r>
            <w:r w:rsidR="00822FBE">
              <w:rPr>
                <w:rFonts w:ascii="Open Sans" w:hAnsi="Open Sans" w:cs="Open Sans"/>
                <w:b/>
                <w:bCs/>
                <w:sz w:val="20"/>
                <w:szCs w:val="20"/>
                <w:lang w:val="en-US"/>
              </w:rPr>
              <w:t xml:space="preserve">  Preparing such financial statements (and getting a clean audit opinion) was the KPI for this condition.</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4B45B90E" w:rsidR="00B62A32" w:rsidRPr="00EB6705" w:rsidRDefault="00822FBE" w:rsidP="00B62A32">
            <w:pPr>
              <w:rPr>
                <w:rFonts w:ascii="Open Sans" w:hAnsi="Open Sans" w:cs="Open Sans"/>
                <w:b/>
                <w:bCs/>
                <w:sz w:val="20"/>
                <w:szCs w:val="20"/>
                <w:lang w:val="en-US"/>
              </w:rPr>
            </w:pPr>
            <w:r>
              <w:rPr>
                <w:rFonts w:ascii="Open Sans" w:hAnsi="Open Sans" w:cs="Open Sans"/>
                <w:b/>
                <w:bCs/>
                <w:sz w:val="20"/>
                <w:szCs w:val="20"/>
                <w:lang w:val="en-US"/>
              </w:rPr>
              <w:t xml:space="preserve">I agree, except that I would make the disclosure of gifts-in-kind and services-in-kind (G23.64) obligatory.  </w:t>
            </w:r>
            <w:proofErr w:type="gramStart"/>
            <w:r>
              <w:rPr>
                <w:rFonts w:ascii="Open Sans" w:hAnsi="Open Sans" w:cs="Open Sans"/>
                <w:b/>
                <w:bCs/>
                <w:sz w:val="20"/>
                <w:szCs w:val="20"/>
                <w:lang w:val="en-US"/>
              </w:rPr>
              <w:t>In particular, I</w:t>
            </w:r>
            <w:proofErr w:type="gramEnd"/>
            <w:r>
              <w:rPr>
                <w:rFonts w:ascii="Open Sans" w:hAnsi="Open Sans" w:cs="Open Sans"/>
                <w:b/>
                <w:bCs/>
                <w:sz w:val="20"/>
                <w:szCs w:val="20"/>
                <w:lang w:val="en-US"/>
              </w:rPr>
              <w:t xml:space="preserve"> have come across projects where the services in-kind represent forced labour; transparent reporting of such services is essential.</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lastRenderedPageBreak/>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3A402498" w14:textId="77777777" w:rsidR="00B62A32" w:rsidRDefault="00822FBE" w:rsidP="00B62A32">
            <w:pPr>
              <w:rPr>
                <w:rFonts w:ascii="Open Sans" w:hAnsi="Open Sans" w:cs="Open Sans"/>
                <w:b/>
                <w:bCs/>
                <w:sz w:val="20"/>
                <w:szCs w:val="20"/>
                <w:lang w:val="en-US"/>
              </w:rPr>
            </w:pPr>
            <w:r>
              <w:rPr>
                <w:rFonts w:ascii="Open Sans" w:hAnsi="Open Sans" w:cs="Open Sans"/>
                <w:b/>
                <w:bCs/>
                <w:sz w:val="20"/>
                <w:szCs w:val="20"/>
                <w:lang w:val="en-US"/>
              </w:rPr>
              <w:t xml:space="preserve">I agree that </w:t>
            </w:r>
            <w:r w:rsidRPr="00822FBE">
              <w:rPr>
                <w:rFonts w:ascii="Open Sans" w:hAnsi="Open Sans" w:cs="Open Sans"/>
                <w:b/>
                <w:bCs/>
                <w:sz w:val="20"/>
                <w:szCs w:val="20"/>
                <w:lang w:val="en-US"/>
              </w:rPr>
              <w:t xml:space="preserve">these proposals </w:t>
            </w:r>
            <w:r>
              <w:rPr>
                <w:rFonts w:ascii="Open Sans" w:hAnsi="Open Sans" w:cs="Open Sans"/>
                <w:b/>
                <w:bCs/>
                <w:sz w:val="20"/>
                <w:szCs w:val="20"/>
                <w:lang w:val="en-US"/>
              </w:rPr>
              <w:t xml:space="preserve">should </w:t>
            </w:r>
            <w:r w:rsidRPr="00822FBE">
              <w:rPr>
                <w:rFonts w:ascii="Open Sans" w:hAnsi="Open Sans" w:cs="Open Sans"/>
                <w:b/>
                <w:bCs/>
                <w:sz w:val="20"/>
                <w:szCs w:val="20"/>
                <w:lang w:val="en-US"/>
              </w:rPr>
              <w:t xml:space="preserve">remove </w:t>
            </w:r>
            <w:proofErr w:type="gramStart"/>
            <w:r w:rsidRPr="00822FBE">
              <w:rPr>
                <w:rFonts w:ascii="Open Sans" w:hAnsi="Open Sans" w:cs="Open Sans"/>
                <w:b/>
                <w:bCs/>
                <w:sz w:val="20"/>
                <w:szCs w:val="20"/>
                <w:lang w:val="en-US"/>
              </w:rPr>
              <w:t xml:space="preserve">duplication, </w:t>
            </w:r>
            <w:r>
              <w:rPr>
                <w:rFonts w:ascii="Open Sans" w:hAnsi="Open Sans" w:cs="Open Sans"/>
                <w:b/>
                <w:bCs/>
                <w:sz w:val="20"/>
                <w:szCs w:val="20"/>
                <w:lang w:val="en-US"/>
              </w:rPr>
              <w:t>and</w:t>
            </w:r>
            <w:proofErr w:type="gramEnd"/>
            <w:r>
              <w:rPr>
                <w:rFonts w:ascii="Open Sans" w:hAnsi="Open Sans" w:cs="Open Sans"/>
                <w:b/>
                <w:bCs/>
                <w:sz w:val="20"/>
                <w:szCs w:val="20"/>
                <w:lang w:val="en-US"/>
              </w:rPr>
              <w:t xml:space="preserve"> </w:t>
            </w:r>
            <w:r w:rsidRPr="00822FBE">
              <w:rPr>
                <w:rFonts w:ascii="Open Sans" w:hAnsi="Open Sans" w:cs="Open Sans"/>
                <w:b/>
                <w:bCs/>
                <w:sz w:val="20"/>
                <w:szCs w:val="20"/>
                <w:lang w:val="en-US"/>
              </w:rPr>
              <w:t>help understandability and the ability to implement</w:t>
            </w:r>
            <w:r>
              <w:rPr>
                <w:rFonts w:ascii="Open Sans" w:hAnsi="Open Sans" w:cs="Open Sans"/>
                <w:b/>
                <w:bCs/>
                <w:sz w:val="20"/>
                <w:szCs w:val="20"/>
                <w:lang w:val="en-US"/>
              </w:rPr>
              <w:t>.  However, there will always be judgement in assessing how to treat some grant arrangements, and the guidance may need to be supplemented based on experience.  In addition:</w:t>
            </w:r>
          </w:p>
          <w:p w14:paraId="30BD75D1" w14:textId="77777777" w:rsidR="00822FBE" w:rsidRDefault="00822FBE" w:rsidP="00B62A32">
            <w:pPr>
              <w:rPr>
                <w:rFonts w:ascii="Open Sans" w:hAnsi="Open Sans" w:cs="Open Sans"/>
                <w:b/>
                <w:bCs/>
                <w:sz w:val="20"/>
                <w:szCs w:val="20"/>
                <w:lang w:val="en-US"/>
              </w:rPr>
            </w:pPr>
          </w:p>
          <w:p w14:paraId="0B5B2E47" w14:textId="77777777" w:rsidR="00822FBE" w:rsidRDefault="00822FBE" w:rsidP="00822FBE">
            <w:pPr>
              <w:pStyle w:val="ListParagraph"/>
              <w:numPr>
                <w:ilvl w:val="0"/>
                <w:numId w:val="20"/>
              </w:numPr>
              <w:rPr>
                <w:rFonts w:ascii="Open Sans" w:hAnsi="Open Sans" w:cs="Open Sans"/>
                <w:b/>
                <w:bCs/>
                <w:sz w:val="20"/>
                <w:szCs w:val="20"/>
                <w:lang w:val="en-US"/>
              </w:rPr>
            </w:pPr>
            <w:r>
              <w:rPr>
                <w:rFonts w:ascii="Open Sans" w:hAnsi="Open Sans" w:cs="Open Sans"/>
                <w:b/>
                <w:bCs/>
                <w:sz w:val="20"/>
                <w:szCs w:val="20"/>
                <w:lang w:val="en-US"/>
              </w:rPr>
              <w:t>I recommend that guidance for auditing such grant arrangements be developed, to help ensure consistent treatment; and</w:t>
            </w:r>
          </w:p>
          <w:p w14:paraId="12A3BECF" w14:textId="77777777" w:rsidR="00822FBE" w:rsidRDefault="00822FBE" w:rsidP="00822FBE">
            <w:pPr>
              <w:pStyle w:val="ListParagraph"/>
              <w:numPr>
                <w:ilvl w:val="0"/>
                <w:numId w:val="20"/>
              </w:numPr>
              <w:rPr>
                <w:rFonts w:ascii="Open Sans" w:hAnsi="Open Sans" w:cs="Open Sans"/>
                <w:b/>
                <w:bCs/>
                <w:sz w:val="20"/>
                <w:szCs w:val="20"/>
                <w:lang w:val="en-US"/>
              </w:rPr>
            </w:pPr>
            <w:r>
              <w:rPr>
                <w:rFonts w:ascii="Open Sans" w:hAnsi="Open Sans" w:cs="Open Sans"/>
                <w:b/>
                <w:bCs/>
                <w:sz w:val="20"/>
                <w:szCs w:val="20"/>
                <w:lang w:val="en-US"/>
              </w:rPr>
              <w:t xml:space="preserve">It may be possible for </w:t>
            </w:r>
            <w:r w:rsidR="00D854BE">
              <w:rPr>
                <w:rFonts w:ascii="Open Sans" w:hAnsi="Open Sans" w:cs="Open Sans"/>
                <w:b/>
                <w:bCs/>
                <w:sz w:val="20"/>
                <w:szCs w:val="20"/>
                <w:lang w:val="en-US"/>
              </w:rPr>
              <w:t>the donor and recipient to have different opinions on the treatment of a grant (i.e. one considers it an EGA, the other an OFA).  Will this be acceptable?  If not, how can it be prevented?</w:t>
            </w:r>
          </w:p>
          <w:p w14:paraId="5A3DB5AD" w14:textId="33CCF837" w:rsidR="00D854BE" w:rsidRPr="00822FBE" w:rsidRDefault="00D854BE" w:rsidP="00D854BE">
            <w:pPr>
              <w:pStyle w:val="ListParagraph"/>
              <w:numPr>
                <w:ilvl w:val="1"/>
                <w:numId w:val="20"/>
              </w:numPr>
              <w:rPr>
                <w:rFonts w:ascii="Open Sans" w:hAnsi="Open Sans" w:cs="Open Sans"/>
                <w:b/>
                <w:bCs/>
                <w:sz w:val="20"/>
                <w:szCs w:val="20"/>
                <w:lang w:val="en-US"/>
              </w:rPr>
            </w:pPr>
            <w:r>
              <w:rPr>
                <w:rFonts w:ascii="Open Sans" w:hAnsi="Open Sans" w:cs="Open Sans"/>
                <w:b/>
                <w:bCs/>
                <w:sz w:val="20"/>
                <w:szCs w:val="20"/>
                <w:lang w:val="en-US"/>
              </w:rPr>
              <w:t>If the donor and recipient are subject to different legal jurisdictions, this may be a difference of fact, not interpretation.  (i.e. the grant arrangements may be enforceable under one jurisdiction, but not the other.)</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the proposals in Section 23, including whether the full content of the IFRS for SMEs section on revenue from contracts 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39CAA08A" w:rsidR="00B62A32" w:rsidRPr="00EB6705" w:rsidRDefault="00D854BE" w:rsidP="00B62A32">
            <w:pPr>
              <w:rPr>
                <w:rFonts w:ascii="Open Sans" w:hAnsi="Open Sans" w:cs="Open Sans"/>
                <w:b/>
                <w:bCs/>
                <w:sz w:val="20"/>
                <w:szCs w:val="20"/>
                <w:lang w:val="en-US"/>
              </w:rPr>
            </w:pPr>
            <w:r>
              <w:rPr>
                <w:rFonts w:ascii="Open Sans" w:hAnsi="Open Sans" w:cs="Open Sans"/>
                <w:b/>
                <w:bCs/>
                <w:sz w:val="20"/>
                <w:szCs w:val="20"/>
                <w:lang w:val="en-US"/>
              </w:rPr>
              <w:t>In G23.8, I assume that bullet (c) only applies to bullet (b).  (I do not see how it can apply to bullet (a).) Is this correct?  If so, could this be made explicit?</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497C434D"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arrangement and enforceable grant obligations and their</w:t>
            </w:r>
            <w:r w:rsidR="001574BE">
              <w:rPr>
                <w:rFonts w:ascii="Open Sans" w:hAnsi="Open Sans" w:cs="Open Sans"/>
                <w:sz w:val="20"/>
                <w:szCs w:val="20"/>
              </w:rPr>
              <w:pgNum/>
            </w:r>
            <w:r w:rsidR="00D854BE">
              <w:rPr>
                <w:rFonts w:ascii="Open Sans" w:hAnsi="Open Sans" w:cs="Open Sans"/>
                <w:sz w:val="20"/>
                <w:szCs w:val="20"/>
              </w:rPr>
              <w:t>d</w:t>
            </w:r>
            <w:r w:rsidR="001574BE">
              <w:rPr>
                <w:rFonts w:ascii="Open Sans" w:hAnsi="Open Sans" w:cs="Open Sans"/>
                <w:sz w:val="20"/>
                <w:szCs w:val="20"/>
              </w:rPr>
              <w:t>efinition</w:t>
            </w:r>
            <w:r>
              <w:rPr>
                <w:rFonts w:ascii="Open Sans" w:hAnsi="Open Sans" w:cs="Open Sans"/>
                <w:sz w:val="20"/>
                <w:szCs w:val="20"/>
              </w:rPr>
              <w:t xml:space="preserve">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521AA39F"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w:t>
            </w:r>
          </w:p>
        </w:tc>
      </w:tr>
      <w:tr w:rsidR="00EE70DF" w:rsidRPr="00452664"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r w:rsidRPr="00455BD0">
              <w:rPr>
                <w:rFonts w:ascii="Open Sans" w:hAnsi="Open Sans" w:cs="Open Sans"/>
                <w:sz w:val="20"/>
                <w:szCs w:val="20"/>
              </w:rPr>
              <w:t>a</w:t>
            </w:r>
            <w:r>
              <w:rPr>
                <w:rFonts w:ascii="Open Sans" w:hAnsi="Open Sans" w:cs="Open Sans"/>
                <w:sz w:val="20"/>
                <w:szCs w:val="20"/>
              </w:rPr>
              <w:t>n other</w:t>
            </w:r>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lastRenderedPageBreak/>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lastRenderedPageBreak/>
              <w:t>G24.3-G24.6</w:t>
            </w:r>
          </w:p>
        </w:tc>
        <w:tc>
          <w:tcPr>
            <w:tcW w:w="8282" w:type="dxa"/>
          </w:tcPr>
          <w:p w14:paraId="515008C7" w14:textId="40409ED9" w:rsidR="004B6049" w:rsidRPr="004B6049" w:rsidRDefault="004B6049" w:rsidP="004B6049">
            <w:pPr>
              <w:rPr>
                <w:rFonts w:ascii="Open Sans" w:hAnsi="Open Sans" w:cs="Open Sans"/>
                <w:b/>
                <w:bCs/>
                <w:sz w:val="20"/>
                <w:szCs w:val="20"/>
                <w:lang w:val="en-US"/>
              </w:rPr>
            </w:pPr>
            <w:r w:rsidRPr="004B6049">
              <w:rPr>
                <w:rFonts w:ascii="Open Sans" w:hAnsi="Open Sans" w:cs="Open Sans"/>
                <w:b/>
                <w:bCs/>
                <w:sz w:val="20"/>
                <w:szCs w:val="20"/>
                <w:lang w:val="en-US"/>
              </w:rPr>
              <w:t xml:space="preserve">I agree.  However, as noted in response to question 4j) above, </w:t>
            </w:r>
            <w:r>
              <w:rPr>
                <w:rFonts w:ascii="Open Sans" w:hAnsi="Open Sans" w:cs="Open Sans"/>
                <w:b/>
                <w:bCs/>
                <w:sz w:val="20"/>
                <w:szCs w:val="20"/>
                <w:lang w:val="en-US"/>
              </w:rPr>
              <w:t>i</w:t>
            </w:r>
            <w:r w:rsidRPr="004B6049">
              <w:rPr>
                <w:rFonts w:ascii="Open Sans" w:hAnsi="Open Sans" w:cs="Open Sans"/>
                <w:b/>
                <w:bCs/>
                <w:sz w:val="20"/>
                <w:szCs w:val="20"/>
                <w:lang w:val="en-US"/>
              </w:rPr>
              <w:t>t may be possible for the donor and recipient to have different opinions on the treatment of a grant (i.e. one considers it an EGA, the other an OFA).  Will this be acceptable?  If not, how can it be prevented?</w:t>
            </w:r>
          </w:p>
          <w:p w14:paraId="1D21094D" w14:textId="066DA957" w:rsidR="00EE70DF" w:rsidRPr="00EB6705" w:rsidRDefault="004B6049" w:rsidP="004B6049">
            <w:pPr>
              <w:rPr>
                <w:rFonts w:ascii="Open Sans" w:hAnsi="Open Sans" w:cs="Open Sans"/>
                <w:b/>
                <w:bCs/>
                <w:sz w:val="20"/>
                <w:szCs w:val="20"/>
                <w:lang w:val="en-US"/>
              </w:rPr>
            </w:pPr>
            <w:r>
              <w:rPr>
                <w:rFonts w:ascii="Open Sans" w:hAnsi="Open Sans" w:cs="Open Sans"/>
                <w:b/>
                <w:bCs/>
                <w:sz w:val="20"/>
                <w:szCs w:val="20"/>
                <w:lang w:val="en-US"/>
              </w:rPr>
              <w:lastRenderedPageBreak/>
              <w:t>If the donor and recipient are subject to different legal jurisdictions, this may be a difference of fact, not interpretation.  (i.e. the grant arrangements may be enforceable under one jurisdiction, but not the other.)</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6009951A"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 subject to my comments above.</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0D2E5B06"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284631ED"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w:t>
            </w:r>
          </w:p>
        </w:tc>
      </w:tr>
      <w:tr w:rsidR="00EE70DF" w:rsidRPr="00452664"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0FBA38C2"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 with the proposed approach.</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5C1648AD" w:rsidR="00EE70DF" w:rsidRPr="00EB6705" w:rsidRDefault="004B6049" w:rsidP="00EE70DF">
            <w:pPr>
              <w:rPr>
                <w:rFonts w:ascii="Open Sans" w:hAnsi="Open Sans" w:cs="Open Sans"/>
                <w:b/>
                <w:bCs/>
                <w:sz w:val="20"/>
                <w:szCs w:val="20"/>
                <w:lang w:val="en-US"/>
              </w:rPr>
            </w:pPr>
            <w:r>
              <w:rPr>
                <w:rFonts w:ascii="Open Sans" w:hAnsi="Open Sans" w:cs="Open Sans"/>
                <w:b/>
                <w:bCs/>
                <w:sz w:val="20"/>
                <w:szCs w:val="20"/>
                <w:lang w:val="en-US"/>
              </w:rPr>
              <w:t>I agree.</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If so, provide the rationale for any comments 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60E73952" w14:textId="77777777" w:rsidR="00EE70DF" w:rsidRDefault="004B6049" w:rsidP="004B6049">
            <w:pPr>
              <w:pStyle w:val="ListParagraph"/>
              <w:numPr>
                <w:ilvl w:val="0"/>
                <w:numId w:val="21"/>
              </w:numPr>
              <w:rPr>
                <w:rFonts w:ascii="Open Sans" w:hAnsi="Open Sans" w:cs="Open Sans"/>
                <w:b/>
                <w:bCs/>
                <w:sz w:val="20"/>
                <w:szCs w:val="20"/>
                <w:lang w:val="en-US"/>
              </w:rPr>
            </w:pPr>
            <w:r w:rsidRPr="004B6049">
              <w:rPr>
                <w:rFonts w:ascii="Open Sans" w:hAnsi="Open Sans" w:cs="Open Sans"/>
                <w:b/>
                <w:bCs/>
                <w:sz w:val="20"/>
                <w:szCs w:val="20"/>
                <w:lang w:val="en-US"/>
              </w:rPr>
              <w:t>I note that IG24.26 provides guidance for cases when a grant recipient is not satisfying its obligations in an EGA.  However, this does not include cases where the grant provider has the option of stepping in and assuming direct responsibility for the required activities.  Could the IG provide guidance on how to account for this?</w:t>
            </w:r>
          </w:p>
          <w:p w14:paraId="52EBA0D5" w14:textId="058A1083" w:rsidR="004B6049" w:rsidRPr="004B6049" w:rsidRDefault="004B6049" w:rsidP="004B6049">
            <w:pPr>
              <w:pStyle w:val="ListParagraph"/>
              <w:numPr>
                <w:ilvl w:val="0"/>
                <w:numId w:val="21"/>
              </w:numPr>
              <w:rPr>
                <w:rFonts w:ascii="Open Sans" w:hAnsi="Open Sans" w:cs="Open Sans"/>
                <w:b/>
                <w:bCs/>
                <w:sz w:val="20"/>
                <w:szCs w:val="20"/>
                <w:lang w:val="en-US"/>
              </w:rPr>
            </w:pPr>
            <w:r>
              <w:rPr>
                <w:rFonts w:ascii="Open Sans" w:hAnsi="Open Sans" w:cs="Open Sans"/>
                <w:b/>
                <w:bCs/>
                <w:sz w:val="20"/>
                <w:szCs w:val="20"/>
                <w:lang w:val="en-US"/>
              </w:rPr>
              <w:t>There is a typo in the last Illustrative Example.  In the 4</w:t>
            </w:r>
            <w:r w:rsidRPr="004B6049">
              <w:rPr>
                <w:rFonts w:ascii="Open Sans" w:hAnsi="Open Sans" w:cs="Open Sans"/>
                <w:b/>
                <w:bCs/>
                <w:sz w:val="20"/>
                <w:szCs w:val="20"/>
                <w:vertAlign w:val="superscript"/>
                <w:lang w:val="en-US"/>
              </w:rPr>
              <w:t>th</w:t>
            </w:r>
            <w:r>
              <w:rPr>
                <w:rFonts w:ascii="Open Sans" w:hAnsi="Open Sans" w:cs="Open Sans"/>
                <w:b/>
                <w:bCs/>
                <w:sz w:val="20"/>
                <w:szCs w:val="20"/>
                <w:lang w:val="en-US"/>
              </w:rPr>
              <w:t xml:space="preserve"> paragraph, “their” should be “there”.</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6EC190C5" w:rsidR="007312A9" w:rsidRPr="00EB6705" w:rsidRDefault="00452664" w:rsidP="007312A9">
            <w:pPr>
              <w:rPr>
                <w:rFonts w:ascii="Open Sans" w:hAnsi="Open Sans" w:cs="Open Sans"/>
                <w:b/>
                <w:bCs/>
                <w:sz w:val="20"/>
                <w:szCs w:val="20"/>
                <w:lang w:val="en-US"/>
              </w:rPr>
            </w:pPr>
            <w:r>
              <w:rPr>
                <w:rFonts w:ascii="Open Sans" w:hAnsi="Open Sans" w:cs="Open Sans"/>
                <w:b/>
                <w:bCs/>
                <w:sz w:val="20"/>
                <w:szCs w:val="20"/>
                <w:lang w:val="en-US"/>
              </w:rPr>
              <w:t>I agree.</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If not, provide 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t>Not applicable</w:t>
            </w:r>
          </w:p>
        </w:tc>
        <w:tc>
          <w:tcPr>
            <w:tcW w:w="8282" w:type="dxa"/>
          </w:tcPr>
          <w:p w14:paraId="484AFC46" w14:textId="741B8AFD" w:rsidR="00563EEE" w:rsidRPr="00EB6705" w:rsidRDefault="00581396" w:rsidP="00563EEE">
            <w:pPr>
              <w:rPr>
                <w:rFonts w:ascii="Open Sans" w:hAnsi="Open Sans" w:cs="Open Sans"/>
                <w:b/>
                <w:bCs/>
                <w:sz w:val="20"/>
                <w:szCs w:val="20"/>
                <w:lang w:val="en-US"/>
              </w:rPr>
            </w:pPr>
            <w:r>
              <w:rPr>
                <w:rFonts w:ascii="Open Sans" w:hAnsi="Open Sans" w:cs="Open Sans"/>
                <w:b/>
                <w:bCs/>
                <w:sz w:val="20"/>
                <w:szCs w:val="20"/>
                <w:lang w:val="en-US"/>
              </w:rPr>
              <w:t>I agree it is highly unlikely that share-based payments will be relevant to NPOs.  However, it is possible that an NPO could have such payments and I therefore recommend we include a statement that, if share-based payments are made, the relevant provisions of the IFRS for SMEs Accounting Standard shall apply.</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74F18658" w:rsidR="00240FA8" w:rsidRPr="00EB6705" w:rsidRDefault="00F7703D" w:rsidP="00240FA8">
            <w:pPr>
              <w:rPr>
                <w:rFonts w:ascii="Open Sans" w:hAnsi="Open Sans" w:cs="Open Sans"/>
                <w:b/>
                <w:bCs/>
                <w:sz w:val="20"/>
                <w:szCs w:val="20"/>
                <w:lang w:val="en-US"/>
              </w:rPr>
            </w:pPr>
            <w:r>
              <w:rPr>
                <w:rFonts w:ascii="Open Sans" w:hAnsi="Open Sans" w:cs="Open Sans"/>
                <w:b/>
                <w:bCs/>
                <w:sz w:val="20"/>
                <w:szCs w:val="20"/>
                <w:lang w:val="en-US"/>
              </w:rPr>
              <w:t>I agree it is highly unlikely that profit sharing and share-based payments will be relevant to NPOs.  However, it is possible that an NPO could have such arrangements and I therefore recommend we include a statement that, if profit sharing or share-based payments are made, the relevant provisions of the IFRS for SMEs Accounting Standard shall apply.</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46EE0808" w:rsidR="00240FA8" w:rsidRPr="00EB6705" w:rsidRDefault="00F7703D" w:rsidP="00240FA8">
            <w:pPr>
              <w:rPr>
                <w:rFonts w:ascii="Open Sans" w:hAnsi="Open Sans" w:cs="Open Sans"/>
                <w:b/>
                <w:bCs/>
                <w:sz w:val="20"/>
                <w:szCs w:val="20"/>
                <w:lang w:val="en-US"/>
              </w:rPr>
            </w:pPr>
            <w:r>
              <w:rPr>
                <w:rFonts w:ascii="Open Sans" w:hAnsi="Open Sans" w:cs="Open Sans"/>
                <w:b/>
                <w:bCs/>
                <w:sz w:val="20"/>
                <w:szCs w:val="20"/>
                <w:lang w:val="en-US"/>
              </w:rPr>
              <w:t>I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lastRenderedPageBreak/>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2DA03BDD" w:rsidR="0083399D" w:rsidRPr="00EB6705" w:rsidRDefault="00F7703D" w:rsidP="0083399D">
            <w:pPr>
              <w:jc w:val="both"/>
              <w:rPr>
                <w:rFonts w:ascii="Open Sans" w:hAnsi="Open Sans" w:cs="Open Sans"/>
                <w:b/>
                <w:bCs/>
                <w:sz w:val="20"/>
                <w:szCs w:val="20"/>
                <w:lang w:val="en-US"/>
              </w:rPr>
            </w:pPr>
            <w:r>
              <w:rPr>
                <w:rFonts w:ascii="Open Sans" w:hAnsi="Open Sans" w:cs="Open Sans"/>
                <w:b/>
                <w:bCs/>
                <w:sz w:val="20"/>
                <w:szCs w:val="20"/>
                <w:lang w:val="en-US"/>
              </w:rPr>
              <w:t>Some elements may be less common than for commercial organisations</w:t>
            </w:r>
            <w:r w:rsidR="00CE72A2">
              <w:rPr>
                <w:rFonts w:ascii="Open Sans" w:hAnsi="Open Sans" w:cs="Open Sans"/>
                <w:b/>
                <w:bCs/>
                <w:sz w:val="20"/>
                <w:szCs w:val="20"/>
                <w:lang w:val="en-US"/>
              </w:rPr>
              <w:t>; however, I agree that there are none which will not be required.</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3A7014A1"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 xml:space="preserve">G30.3 </w:t>
            </w:r>
            <w:r w:rsidR="001574BE">
              <w:rPr>
                <w:rFonts w:ascii="Open Sans" w:hAnsi="Open Sans" w:cs="Open Sans"/>
                <w:sz w:val="20"/>
                <w:szCs w:val="20"/>
              </w:rPr>
              <w:t>©</w:t>
            </w:r>
            <w:r>
              <w:rPr>
                <w:rFonts w:ascii="Open Sans" w:hAnsi="Open Sans" w:cs="Open Sans"/>
                <w:sz w:val="20"/>
                <w:szCs w:val="20"/>
              </w:rPr>
              <w:t>, G30.5 (b), G30.5 (d)</w:t>
            </w:r>
          </w:p>
        </w:tc>
        <w:tc>
          <w:tcPr>
            <w:tcW w:w="8282" w:type="dxa"/>
          </w:tcPr>
          <w:p w14:paraId="6D0D6A90" w14:textId="01A328D2" w:rsidR="001A2764" w:rsidRPr="00EB6705" w:rsidRDefault="00105359" w:rsidP="001A2764">
            <w:pPr>
              <w:jc w:val="both"/>
              <w:rPr>
                <w:rFonts w:ascii="Open Sans" w:hAnsi="Open Sans" w:cs="Open Sans"/>
                <w:b/>
                <w:bCs/>
                <w:sz w:val="20"/>
                <w:szCs w:val="20"/>
                <w:lang w:val="nl-NL"/>
              </w:rPr>
            </w:pPr>
            <w:r>
              <w:rPr>
                <w:rFonts w:ascii="Open Sans" w:hAnsi="Open Sans" w:cs="Open Sans"/>
                <w:b/>
                <w:bCs/>
                <w:sz w:val="20"/>
                <w:szCs w:val="20"/>
                <w:lang w:val="nl-NL"/>
              </w:rPr>
              <w:t>I agree.</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the principle that exchange gains and losses are shown as </w:t>
            </w:r>
            <w:r>
              <w:rPr>
                <w:rFonts w:ascii="Open Sans" w:hAnsi="Open Sans" w:cs="Open Sans"/>
                <w:sz w:val="20"/>
                <w:szCs w:val="20"/>
              </w:rPr>
              <w:lastRenderedPageBreak/>
              <w:t>part of funds without restrictions unless they relate to a transaction that is to be shown as restricted? If not, why not?</w:t>
            </w:r>
          </w:p>
        </w:tc>
        <w:tc>
          <w:tcPr>
            <w:tcW w:w="1642" w:type="dxa"/>
          </w:tcPr>
          <w:p w14:paraId="4FAA8CDD" w14:textId="01E9485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lastRenderedPageBreak/>
              <w:t xml:space="preserve">G30.12, G30.20 </w:t>
            </w:r>
            <w:r w:rsidR="001574BE">
              <w:rPr>
                <w:rFonts w:ascii="Open Sans" w:hAnsi="Open Sans" w:cs="Open Sans"/>
                <w:sz w:val="20"/>
                <w:szCs w:val="20"/>
              </w:rPr>
              <w:t>©</w:t>
            </w:r>
          </w:p>
        </w:tc>
        <w:tc>
          <w:tcPr>
            <w:tcW w:w="8282" w:type="dxa"/>
          </w:tcPr>
          <w:p w14:paraId="5CEAE535" w14:textId="26C06B56" w:rsidR="001A2764" w:rsidRPr="00EB6705" w:rsidRDefault="00105359" w:rsidP="001A2764">
            <w:pPr>
              <w:jc w:val="both"/>
              <w:rPr>
                <w:rFonts w:ascii="Open Sans" w:hAnsi="Open Sans" w:cs="Open Sans"/>
                <w:b/>
                <w:bCs/>
                <w:sz w:val="20"/>
                <w:szCs w:val="20"/>
                <w:lang w:val="nl-NL"/>
              </w:rPr>
            </w:pPr>
            <w:r>
              <w:rPr>
                <w:rFonts w:ascii="Open Sans" w:hAnsi="Open Sans" w:cs="Open Sans"/>
                <w:b/>
                <w:bCs/>
                <w:sz w:val="20"/>
                <w:szCs w:val="20"/>
                <w:lang w:val="nl-NL"/>
              </w:rPr>
              <w:t>I agree.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04ADE132" w:rsidR="001A2764" w:rsidRPr="00EB6705" w:rsidRDefault="00105359" w:rsidP="001A2764">
            <w:pPr>
              <w:jc w:val="both"/>
              <w:rPr>
                <w:rFonts w:ascii="Open Sans" w:hAnsi="Open Sans" w:cs="Open Sans"/>
                <w:b/>
                <w:bCs/>
                <w:sz w:val="20"/>
                <w:szCs w:val="20"/>
                <w:lang w:val="nl-NL"/>
              </w:rPr>
            </w:pPr>
            <w:r>
              <w:rPr>
                <w:rFonts w:ascii="Open Sans" w:hAnsi="Open Sans" w:cs="Open Sans"/>
                <w:b/>
                <w:bCs/>
                <w:sz w:val="20"/>
                <w:szCs w:val="20"/>
                <w:lang w:val="nl-NL"/>
              </w:rPr>
              <w:t>I agree.</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293F18BF" w:rsidR="001A2764" w:rsidRPr="00EB6705" w:rsidRDefault="00105359" w:rsidP="001A2764">
            <w:pPr>
              <w:jc w:val="both"/>
              <w:rPr>
                <w:rFonts w:ascii="Open Sans" w:hAnsi="Open Sans" w:cs="Open Sans"/>
                <w:b/>
                <w:bCs/>
                <w:sz w:val="20"/>
                <w:szCs w:val="20"/>
                <w:lang w:val="nl-NL"/>
              </w:rPr>
            </w:pPr>
            <w:r>
              <w:rPr>
                <w:rFonts w:ascii="Open Sans" w:hAnsi="Open Sans" w:cs="Open Sans"/>
                <w:b/>
                <w:bCs/>
                <w:sz w:val="20"/>
                <w:szCs w:val="20"/>
                <w:lang w:val="nl-NL"/>
              </w:rPr>
              <w:t xml:space="preserve">One very small point: there is a typo in the second sentence of BC30.6 (“This was to show that an NPO may have to fund a loss on from its unrestricted resources.”) </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lastRenderedPageBreak/>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7B96C1C1" w:rsidR="009A5B0D" w:rsidRPr="00EB6705" w:rsidRDefault="00DB6304" w:rsidP="009A5B0D">
            <w:pPr>
              <w:jc w:val="both"/>
              <w:rPr>
                <w:rFonts w:ascii="Open Sans" w:hAnsi="Open Sans" w:cs="Open Sans"/>
                <w:b/>
                <w:bCs/>
                <w:sz w:val="20"/>
                <w:szCs w:val="20"/>
                <w:lang w:val="en-US"/>
              </w:rPr>
            </w:pPr>
            <w:r>
              <w:rPr>
                <w:rFonts w:ascii="Open Sans" w:hAnsi="Open Sans" w:cs="Open Sans"/>
                <w:b/>
                <w:bCs/>
                <w:sz w:val="20"/>
                <w:szCs w:val="20"/>
                <w:lang w:val="en-US"/>
              </w:rPr>
              <w:t>I agree.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w:t>
            </w:r>
            <w:proofErr w:type="gramStart"/>
            <w:r w:rsidRPr="00B67D80">
              <w:rPr>
                <w:rFonts w:ascii="Open Sans" w:eastAsiaTheme="minorHAnsi" w:hAnsi="Open Sans" w:cs="Open Sans"/>
                <w:color w:val="000000" w:themeColor="text1"/>
                <w:sz w:val="20"/>
                <w:szCs w:val="20"/>
                <w:lang w:val="en-GB"/>
              </w:rPr>
              <w:t>measuring</w:t>
            </w:r>
            <w:proofErr w:type="gramEnd"/>
            <w:r w:rsidRPr="00B67D80">
              <w:rPr>
                <w:rFonts w:ascii="Open Sans" w:eastAsiaTheme="minorHAnsi" w:hAnsi="Open Sans" w:cs="Open Sans"/>
                <w:color w:val="000000" w:themeColor="text1"/>
                <w:sz w:val="20"/>
                <w:szCs w:val="20"/>
                <w:lang w:val="en-GB"/>
              </w:rPr>
              <w:t xml:space="preserve">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0CD061D1" w:rsidR="00B83B74" w:rsidRPr="00EB6705" w:rsidRDefault="006C2218" w:rsidP="00B83B74">
            <w:pPr>
              <w:rPr>
                <w:rFonts w:ascii="Open Sans" w:hAnsi="Open Sans" w:cs="Open Sans"/>
                <w:b/>
                <w:bCs/>
                <w:sz w:val="20"/>
                <w:szCs w:val="20"/>
                <w:lang w:val="en-US"/>
              </w:rPr>
            </w:pPr>
            <w:r>
              <w:rPr>
                <w:rFonts w:ascii="Open Sans" w:hAnsi="Open Sans" w:cs="Open Sans"/>
                <w:b/>
                <w:bCs/>
                <w:sz w:val="20"/>
                <w:szCs w:val="20"/>
                <w:lang w:val="en-US"/>
              </w:rPr>
              <w:t>I agree.</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lastRenderedPageBreak/>
              <w:t xml:space="preserve">When providing additional feedback please reference the paragraph numbers, where possible and provide a short explanation to support your comments. </w:t>
            </w:r>
          </w:p>
        </w:tc>
        <w:tc>
          <w:tcPr>
            <w:tcW w:w="9922" w:type="dxa"/>
          </w:tcPr>
          <w:p w14:paraId="11CC57A3" w14:textId="77777777" w:rsidR="001574BE" w:rsidRDefault="001574BE" w:rsidP="001574BE">
            <w:pPr>
              <w:pStyle w:val="ListParagraph"/>
              <w:numPr>
                <w:ilvl w:val="0"/>
                <w:numId w:val="18"/>
              </w:numPr>
              <w:rPr>
                <w:rFonts w:ascii="Open Sans" w:hAnsi="Open Sans" w:cs="Open Sans"/>
                <w:b/>
                <w:bCs/>
                <w:sz w:val="20"/>
                <w:szCs w:val="20"/>
                <w:lang w:val="en-US"/>
              </w:rPr>
            </w:pPr>
            <w:r>
              <w:rPr>
                <w:rFonts w:ascii="Open Sans" w:hAnsi="Open Sans" w:cs="Open Sans"/>
                <w:b/>
                <w:bCs/>
                <w:sz w:val="20"/>
                <w:szCs w:val="20"/>
                <w:u w:val="single"/>
                <w:lang w:val="en-US"/>
              </w:rPr>
              <w:lastRenderedPageBreak/>
              <w:t>Section 13</w:t>
            </w:r>
            <w:r>
              <w:rPr>
                <w:rFonts w:ascii="Open Sans" w:hAnsi="Open Sans" w:cs="Open Sans"/>
                <w:b/>
                <w:bCs/>
                <w:sz w:val="20"/>
                <w:szCs w:val="20"/>
                <w:lang w:val="en-US"/>
              </w:rPr>
              <w:t xml:space="preserve">, </w:t>
            </w:r>
          </w:p>
          <w:p w14:paraId="0FF118A6" w14:textId="59D408FC" w:rsidR="001574BE" w:rsidRDefault="001574BE" w:rsidP="00482A3D">
            <w:pPr>
              <w:pStyle w:val="ListParagraph"/>
              <w:numPr>
                <w:ilvl w:val="1"/>
                <w:numId w:val="18"/>
              </w:numPr>
              <w:ind w:left="990"/>
              <w:rPr>
                <w:rFonts w:ascii="Open Sans" w:hAnsi="Open Sans" w:cs="Open Sans"/>
                <w:b/>
                <w:bCs/>
                <w:sz w:val="20"/>
                <w:szCs w:val="20"/>
                <w:lang w:val="en-US"/>
              </w:rPr>
            </w:pPr>
            <w:r w:rsidRPr="001574BE">
              <w:rPr>
                <w:rFonts w:ascii="Open Sans" w:hAnsi="Open Sans" w:cs="Open Sans"/>
                <w:b/>
                <w:bCs/>
                <w:sz w:val="20"/>
                <w:szCs w:val="20"/>
                <w:lang w:val="en-US"/>
              </w:rPr>
              <w:t xml:space="preserve">There is a typo </w:t>
            </w:r>
            <w:r>
              <w:rPr>
                <w:rFonts w:ascii="Open Sans" w:hAnsi="Open Sans" w:cs="Open Sans"/>
                <w:b/>
                <w:bCs/>
                <w:sz w:val="20"/>
                <w:szCs w:val="20"/>
                <w:lang w:val="en-US"/>
              </w:rPr>
              <w:t>in G13.8: there needs to be a comma added after “service potential”.</w:t>
            </w:r>
          </w:p>
          <w:p w14:paraId="0CF59BCF" w14:textId="77777777" w:rsidR="00482A3D" w:rsidRDefault="001574BE" w:rsidP="00482A3D">
            <w:pPr>
              <w:pStyle w:val="ListParagraph"/>
              <w:numPr>
                <w:ilvl w:val="1"/>
                <w:numId w:val="18"/>
              </w:numPr>
              <w:ind w:left="990"/>
              <w:rPr>
                <w:rFonts w:ascii="Open Sans" w:hAnsi="Open Sans" w:cs="Open Sans"/>
                <w:b/>
                <w:bCs/>
                <w:sz w:val="20"/>
                <w:szCs w:val="20"/>
                <w:lang w:val="en-US"/>
              </w:rPr>
            </w:pPr>
            <w:r>
              <w:rPr>
                <w:rFonts w:ascii="Open Sans" w:hAnsi="Open Sans" w:cs="Open Sans"/>
                <w:b/>
                <w:bCs/>
                <w:sz w:val="20"/>
                <w:szCs w:val="20"/>
                <w:lang w:val="en-US"/>
              </w:rPr>
              <w:lastRenderedPageBreak/>
              <w:t>I am disappointed that we are not grasping the nettle of First Expired First Out valuation of inventory (BC13.2</w:t>
            </w:r>
            <w:r w:rsidR="00482A3D">
              <w:rPr>
                <w:rFonts w:ascii="Open Sans" w:hAnsi="Open Sans" w:cs="Open Sans"/>
                <w:b/>
                <w:bCs/>
                <w:sz w:val="20"/>
                <w:szCs w:val="20"/>
                <w:lang w:val="en-US"/>
              </w:rPr>
              <w:t>1</w:t>
            </w:r>
            <w:r>
              <w:rPr>
                <w:rFonts w:ascii="Open Sans" w:hAnsi="Open Sans" w:cs="Open Sans"/>
                <w:b/>
                <w:bCs/>
                <w:sz w:val="20"/>
                <w:szCs w:val="20"/>
                <w:lang w:val="en-US"/>
              </w:rPr>
              <w:t>-23 and Illustrative Example 1 for Section 13).</w:t>
            </w:r>
          </w:p>
          <w:p w14:paraId="3AC87941" w14:textId="77777777" w:rsidR="00482A3D" w:rsidRDefault="00482A3D" w:rsidP="00482A3D">
            <w:pPr>
              <w:pStyle w:val="ListParagraph"/>
              <w:numPr>
                <w:ilvl w:val="2"/>
                <w:numId w:val="18"/>
              </w:numPr>
              <w:ind w:left="1350"/>
              <w:rPr>
                <w:rFonts w:ascii="Open Sans" w:hAnsi="Open Sans" w:cs="Open Sans"/>
                <w:b/>
                <w:bCs/>
                <w:sz w:val="20"/>
                <w:szCs w:val="20"/>
                <w:lang w:val="en-US"/>
              </w:rPr>
            </w:pPr>
            <w:r>
              <w:rPr>
                <w:rFonts w:ascii="Open Sans" w:hAnsi="Open Sans" w:cs="Open Sans"/>
                <w:b/>
                <w:bCs/>
                <w:sz w:val="20"/>
                <w:szCs w:val="20"/>
                <w:lang w:val="en-US"/>
              </w:rPr>
              <w:t xml:space="preserve">I note the arguments presented in BC13 22-23.  However, </w:t>
            </w:r>
          </w:p>
          <w:p w14:paraId="11F9F152" w14:textId="77777777" w:rsidR="00482A3D" w:rsidRDefault="00482A3D" w:rsidP="00482A3D">
            <w:pPr>
              <w:pStyle w:val="ListParagraph"/>
              <w:numPr>
                <w:ilvl w:val="3"/>
                <w:numId w:val="18"/>
              </w:numPr>
              <w:ind w:left="1710"/>
              <w:rPr>
                <w:rFonts w:ascii="Open Sans" w:hAnsi="Open Sans" w:cs="Open Sans"/>
                <w:b/>
                <w:bCs/>
                <w:sz w:val="20"/>
                <w:szCs w:val="20"/>
                <w:lang w:val="en-US"/>
              </w:rPr>
            </w:pPr>
            <w:r>
              <w:rPr>
                <w:rFonts w:ascii="Open Sans" w:hAnsi="Open Sans" w:cs="Open Sans"/>
                <w:b/>
                <w:bCs/>
                <w:sz w:val="20"/>
                <w:szCs w:val="20"/>
                <w:lang w:val="en-US"/>
              </w:rPr>
              <w:t>As an auditor I have seen too many cases of inventory passing its expiry date because the warehouse management was following accounting rules (i.e. managing inventory on a FIFO basis). This indicates a problem with IFRS that we have an opportunity to address.</w:t>
            </w:r>
          </w:p>
          <w:p w14:paraId="78199B18" w14:textId="77777777" w:rsidR="00482A3D" w:rsidRDefault="00482A3D" w:rsidP="00482A3D">
            <w:pPr>
              <w:pStyle w:val="ListParagraph"/>
              <w:numPr>
                <w:ilvl w:val="3"/>
                <w:numId w:val="18"/>
              </w:numPr>
              <w:ind w:left="1710"/>
              <w:rPr>
                <w:rFonts w:ascii="Open Sans" w:hAnsi="Open Sans" w:cs="Open Sans"/>
                <w:b/>
                <w:bCs/>
                <w:sz w:val="20"/>
                <w:szCs w:val="20"/>
                <w:lang w:val="en-US"/>
              </w:rPr>
            </w:pPr>
            <w:r>
              <w:rPr>
                <w:rFonts w:ascii="Open Sans" w:hAnsi="Open Sans" w:cs="Open Sans"/>
                <w:b/>
                <w:bCs/>
                <w:sz w:val="20"/>
                <w:szCs w:val="20"/>
                <w:lang w:val="en-US"/>
              </w:rPr>
              <w:t>Moreover, I disagree with the comment that the issue is “unlikely to be NPO specific” (BC13.22).  The imbalance in power between donors and recipients is often very large, with recipients taking whatever they are given.  Again, I have seen too many abuses of this, with donors giving food or medicines that are about to expire.  The use of FEFO would not solve this problem but would help address it.</w:t>
            </w:r>
          </w:p>
          <w:p w14:paraId="67E8759F" w14:textId="76458377" w:rsidR="00482A3D" w:rsidRPr="00482A3D" w:rsidRDefault="00964A17" w:rsidP="00482A3D">
            <w:pPr>
              <w:pStyle w:val="ListParagraph"/>
              <w:numPr>
                <w:ilvl w:val="1"/>
                <w:numId w:val="18"/>
              </w:numPr>
              <w:rPr>
                <w:rFonts w:ascii="Open Sans" w:hAnsi="Open Sans" w:cs="Open Sans"/>
                <w:b/>
                <w:bCs/>
                <w:sz w:val="20"/>
                <w:szCs w:val="20"/>
                <w:lang w:val="en-US"/>
              </w:rPr>
            </w:pPr>
            <w:r>
              <w:rPr>
                <w:rFonts w:ascii="Open Sans" w:hAnsi="Open Sans" w:cs="Open Sans"/>
                <w:b/>
                <w:bCs/>
                <w:sz w:val="20"/>
                <w:szCs w:val="20"/>
                <w:lang w:val="en-US"/>
              </w:rPr>
              <w:t xml:space="preserve">Illustrative Example 1 does not seem realistic to me.  In my experience, donated medicines have a range of shelf lives and recipient NPOs </w:t>
            </w:r>
            <w:proofErr w:type="gramStart"/>
            <w:r>
              <w:rPr>
                <w:rFonts w:ascii="Open Sans" w:hAnsi="Open Sans" w:cs="Open Sans"/>
                <w:b/>
                <w:bCs/>
                <w:sz w:val="20"/>
                <w:szCs w:val="20"/>
                <w:lang w:val="en-US"/>
              </w:rPr>
              <w:t>have to</w:t>
            </w:r>
            <w:proofErr w:type="gramEnd"/>
            <w:r>
              <w:rPr>
                <w:rFonts w:ascii="Open Sans" w:hAnsi="Open Sans" w:cs="Open Sans"/>
                <w:b/>
                <w:bCs/>
                <w:sz w:val="20"/>
                <w:szCs w:val="20"/>
                <w:lang w:val="en-US"/>
              </w:rPr>
              <w:t xml:space="preserve"> identify which (if any) are due to expire soon.  I would also recommend that NPOs need to consider a provision against the consequences of using expired inventory by mistake; I am not sure whether this should be part of Section 13 or Section 21.</w:t>
            </w: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483E41">
      <w:headerReference w:type="default" r:id="rId15"/>
      <w:footerReference w:type="defaul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E387" w14:textId="77777777" w:rsidR="00483E41" w:rsidRDefault="00483E41" w:rsidP="009F74AC">
      <w:pPr>
        <w:spacing w:after="0" w:line="240" w:lineRule="auto"/>
      </w:pPr>
      <w:r>
        <w:separator/>
      </w:r>
    </w:p>
  </w:endnote>
  <w:endnote w:type="continuationSeparator" w:id="0">
    <w:p w14:paraId="6AA3C733" w14:textId="77777777" w:rsidR="00483E41" w:rsidRDefault="00483E41" w:rsidP="009F74AC">
      <w:pPr>
        <w:spacing w:after="0" w:line="240" w:lineRule="auto"/>
      </w:pPr>
      <w:r>
        <w:continuationSeparator/>
      </w:r>
    </w:p>
  </w:endnote>
  <w:endnote w:type="continuationNotice" w:id="1">
    <w:p w14:paraId="1A6F6510" w14:textId="77777777" w:rsidR="00483E41" w:rsidRDefault="00483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15577" w14:textId="77777777" w:rsidR="00483E41" w:rsidRDefault="00483E41" w:rsidP="009F74AC">
      <w:pPr>
        <w:spacing w:after="0" w:line="240" w:lineRule="auto"/>
      </w:pPr>
      <w:r>
        <w:separator/>
      </w:r>
    </w:p>
  </w:footnote>
  <w:footnote w:type="continuationSeparator" w:id="0">
    <w:p w14:paraId="1C53BD48" w14:textId="77777777" w:rsidR="00483E41" w:rsidRDefault="00483E41" w:rsidP="009F74AC">
      <w:pPr>
        <w:spacing w:after="0" w:line="240" w:lineRule="auto"/>
      </w:pPr>
      <w:r>
        <w:continuationSeparator/>
      </w:r>
    </w:p>
  </w:footnote>
  <w:footnote w:type="continuationNotice" w:id="1">
    <w:p w14:paraId="066F1964" w14:textId="77777777" w:rsidR="00483E41" w:rsidRDefault="00483E41">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550FA9"/>
    <w:multiLevelType w:val="hybridMultilevel"/>
    <w:tmpl w:val="D82A491E"/>
    <w:lvl w:ilvl="0" w:tplc="D8FA7FB2">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C2481D"/>
    <w:multiLevelType w:val="hybridMultilevel"/>
    <w:tmpl w:val="AEF0D4D4"/>
    <w:lvl w:ilvl="0" w:tplc="D8FA7FB2">
      <w:numFmt w:val="bullet"/>
      <w:lvlText w:val="-"/>
      <w:lvlJc w:val="left"/>
      <w:pPr>
        <w:ind w:left="720" w:hanging="360"/>
      </w:pPr>
      <w:rPr>
        <w:rFonts w:ascii="Open Sans" w:eastAsiaTheme="minorHAnsi" w:hAnsi="Open Sans" w:cs="Open San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40A54"/>
    <w:multiLevelType w:val="hybridMultilevel"/>
    <w:tmpl w:val="4BDCA8A2"/>
    <w:lvl w:ilvl="0" w:tplc="D8FA7FB2">
      <w:numFmt w:val="bullet"/>
      <w:lvlText w:val="-"/>
      <w:lvlJc w:val="left"/>
      <w:pPr>
        <w:ind w:left="720" w:hanging="360"/>
      </w:pPr>
      <w:rPr>
        <w:rFonts w:ascii="Open Sans" w:eastAsiaTheme="minorHAnsi" w:hAnsi="Open Sans" w:cs="Open San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9E28D6"/>
    <w:multiLevelType w:val="hybridMultilevel"/>
    <w:tmpl w:val="98E62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E637DC6"/>
    <w:multiLevelType w:val="hybridMultilevel"/>
    <w:tmpl w:val="D6A2B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011887">
    <w:abstractNumId w:val="10"/>
  </w:num>
  <w:num w:numId="2" w16cid:durableId="1853909506">
    <w:abstractNumId w:val="4"/>
  </w:num>
  <w:num w:numId="3" w16cid:durableId="223805682">
    <w:abstractNumId w:val="9"/>
  </w:num>
  <w:num w:numId="4" w16cid:durableId="2116900532">
    <w:abstractNumId w:val="17"/>
  </w:num>
  <w:num w:numId="5" w16cid:durableId="150828067">
    <w:abstractNumId w:val="8"/>
  </w:num>
  <w:num w:numId="6" w16cid:durableId="600525856">
    <w:abstractNumId w:val="19"/>
  </w:num>
  <w:num w:numId="7" w16cid:durableId="465851421">
    <w:abstractNumId w:val="16"/>
  </w:num>
  <w:num w:numId="8" w16cid:durableId="779950816">
    <w:abstractNumId w:val="14"/>
  </w:num>
  <w:num w:numId="9" w16cid:durableId="655376644">
    <w:abstractNumId w:val="12"/>
  </w:num>
  <w:num w:numId="10" w16cid:durableId="95449692">
    <w:abstractNumId w:val="15"/>
  </w:num>
  <w:num w:numId="11" w16cid:durableId="1921479045">
    <w:abstractNumId w:val="3"/>
  </w:num>
  <w:num w:numId="12" w16cid:durableId="1551184806">
    <w:abstractNumId w:val="11"/>
  </w:num>
  <w:num w:numId="13" w16cid:durableId="332496726">
    <w:abstractNumId w:val="13"/>
  </w:num>
  <w:num w:numId="14" w16cid:durableId="1580409337">
    <w:abstractNumId w:val="1"/>
  </w:num>
  <w:num w:numId="15" w16cid:durableId="1845776612">
    <w:abstractNumId w:val="18"/>
  </w:num>
  <w:num w:numId="16" w16cid:durableId="781876379">
    <w:abstractNumId w:val="0"/>
  </w:num>
  <w:num w:numId="17" w16cid:durableId="924534602">
    <w:abstractNumId w:val="7"/>
  </w:num>
  <w:num w:numId="18" w16cid:durableId="1643000751">
    <w:abstractNumId w:val="20"/>
  </w:num>
  <w:num w:numId="19" w16cid:durableId="650525872">
    <w:abstractNumId w:val="6"/>
  </w:num>
  <w:num w:numId="20" w16cid:durableId="291326204">
    <w:abstractNumId w:val="5"/>
  </w:num>
  <w:num w:numId="21" w16cid:durableId="443697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4"/>
    <w:rsid w:val="000A6348"/>
    <w:rsid w:val="000A7174"/>
    <w:rsid w:val="000B0C37"/>
    <w:rsid w:val="000B1B88"/>
    <w:rsid w:val="000B6DE4"/>
    <w:rsid w:val="000C07D4"/>
    <w:rsid w:val="000C4E37"/>
    <w:rsid w:val="000D345C"/>
    <w:rsid w:val="000F7A25"/>
    <w:rsid w:val="001033BB"/>
    <w:rsid w:val="00105359"/>
    <w:rsid w:val="00117C94"/>
    <w:rsid w:val="001211DC"/>
    <w:rsid w:val="001255FA"/>
    <w:rsid w:val="00126569"/>
    <w:rsid w:val="0013020C"/>
    <w:rsid w:val="001426D0"/>
    <w:rsid w:val="0014583D"/>
    <w:rsid w:val="001550E5"/>
    <w:rsid w:val="00155AC2"/>
    <w:rsid w:val="001574BE"/>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413D"/>
    <w:rsid w:val="0021502E"/>
    <w:rsid w:val="00221A16"/>
    <w:rsid w:val="00223BD3"/>
    <w:rsid w:val="00230842"/>
    <w:rsid w:val="002322C4"/>
    <w:rsid w:val="002379AC"/>
    <w:rsid w:val="00240FA8"/>
    <w:rsid w:val="002414E0"/>
    <w:rsid w:val="00247337"/>
    <w:rsid w:val="002538DD"/>
    <w:rsid w:val="00286B35"/>
    <w:rsid w:val="00292B2C"/>
    <w:rsid w:val="00297E2C"/>
    <w:rsid w:val="002A1419"/>
    <w:rsid w:val="002A167D"/>
    <w:rsid w:val="002B6584"/>
    <w:rsid w:val="002B7FB8"/>
    <w:rsid w:val="002C0484"/>
    <w:rsid w:val="002C0C3F"/>
    <w:rsid w:val="002C0E6C"/>
    <w:rsid w:val="002C5B7D"/>
    <w:rsid w:val="002C650A"/>
    <w:rsid w:val="002D3E58"/>
    <w:rsid w:val="002E16CB"/>
    <w:rsid w:val="002E4F95"/>
    <w:rsid w:val="00315284"/>
    <w:rsid w:val="00320F61"/>
    <w:rsid w:val="00326516"/>
    <w:rsid w:val="003325FA"/>
    <w:rsid w:val="00336705"/>
    <w:rsid w:val="003403BD"/>
    <w:rsid w:val="0035010D"/>
    <w:rsid w:val="00354A3A"/>
    <w:rsid w:val="003745FB"/>
    <w:rsid w:val="00374B59"/>
    <w:rsid w:val="003755E7"/>
    <w:rsid w:val="003939BC"/>
    <w:rsid w:val="003A0428"/>
    <w:rsid w:val="003A1EEF"/>
    <w:rsid w:val="003B33EC"/>
    <w:rsid w:val="003C392D"/>
    <w:rsid w:val="003C7B7A"/>
    <w:rsid w:val="003E10EA"/>
    <w:rsid w:val="00406B3D"/>
    <w:rsid w:val="00417841"/>
    <w:rsid w:val="004351A8"/>
    <w:rsid w:val="004437B6"/>
    <w:rsid w:val="004441A6"/>
    <w:rsid w:val="00445705"/>
    <w:rsid w:val="00452664"/>
    <w:rsid w:val="00463CE5"/>
    <w:rsid w:val="00464B62"/>
    <w:rsid w:val="004759D7"/>
    <w:rsid w:val="00480EB8"/>
    <w:rsid w:val="00482A3D"/>
    <w:rsid w:val="00483E41"/>
    <w:rsid w:val="00484CCF"/>
    <w:rsid w:val="004933C9"/>
    <w:rsid w:val="004A3A1F"/>
    <w:rsid w:val="004B6049"/>
    <w:rsid w:val="004C138C"/>
    <w:rsid w:val="004E764D"/>
    <w:rsid w:val="004F7AC8"/>
    <w:rsid w:val="00512D54"/>
    <w:rsid w:val="00515388"/>
    <w:rsid w:val="00522012"/>
    <w:rsid w:val="005247D7"/>
    <w:rsid w:val="005266FA"/>
    <w:rsid w:val="0053637E"/>
    <w:rsid w:val="00546090"/>
    <w:rsid w:val="0054631C"/>
    <w:rsid w:val="005476F2"/>
    <w:rsid w:val="00563EEE"/>
    <w:rsid w:val="0056475E"/>
    <w:rsid w:val="00566E32"/>
    <w:rsid w:val="00581396"/>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75790"/>
    <w:rsid w:val="0068267D"/>
    <w:rsid w:val="006859E4"/>
    <w:rsid w:val="00692087"/>
    <w:rsid w:val="00694053"/>
    <w:rsid w:val="00696DC5"/>
    <w:rsid w:val="006A4A3D"/>
    <w:rsid w:val="006A4C7A"/>
    <w:rsid w:val="006B6418"/>
    <w:rsid w:val="006C21F6"/>
    <w:rsid w:val="006C2218"/>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576"/>
    <w:rsid w:val="007B3A98"/>
    <w:rsid w:val="007B580B"/>
    <w:rsid w:val="007D0030"/>
    <w:rsid w:val="007D27F2"/>
    <w:rsid w:val="007E2862"/>
    <w:rsid w:val="007F48A5"/>
    <w:rsid w:val="0080195C"/>
    <w:rsid w:val="008040ED"/>
    <w:rsid w:val="00812CA9"/>
    <w:rsid w:val="008137C0"/>
    <w:rsid w:val="00821B3D"/>
    <w:rsid w:val="00821F4C"/>
    <w:rsid w:val="00822FBE"/>
    <w:rsid w:val="00826B08"/>
    <w:rsid w:val="0083399D"/>
    <w:rsid w:val="00841B58"/>
    <w:rsid w:val="00850BFE"/>
    <w:rsid w:val="00860251"/>
    <w:rsid w:val="00865ACC"/>
    <w:rsid w:val="00876D53"/>
    <w:rsid w:val="0088436D"/>
    <w:rsid w:val="008A19CB"/>
    <w:rsid w:val="008A1B93"/>
    <w:rsid w:val="008A350D"/>
    <w:rsid w:val="008B7A8C"/>
    <w:rsid w:val="008C6B40"/>
    <w:rsid w:val="008C7009"/>
    <w:rsid w:val="008C76B2"/>
    <w:rsid w:val="008E43FF"/>
    <w:rsid w:val="008F48DE"/>
    <w:rsid w:val="00900ECB"/>
    <w:rsid w:val="00907EE8"/>
    <w:rsid w:val="00910B2B"/>
    <w:rsid w:val="009146D1"/>
    <w:rsid w:val="00915B4B"/>
    <w:rsid w:val="00925D37"/>
    <w:rsid w:val="009313BE"/>
    <w:rsid w:val="00931959"/>
    <w:rsid w:val="00943505"/>
    <w:rsid w:val="00947E53"/>
    <w:rsid w:val="0095564D"/>
    <w:rsid w:val="00962E82"/>
    <w:rsid w:val="00964A17"/>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E4555"/>
    <w:rsid w:val="009F74AC"/>
    <w:rsid w:val="00A039B2"/>
    <w:rsid w:val="00A07D43"/>
    <w:rsid w:val="00A15E58"/>
    <w:rsid w:val="00A17864"/>
    <w:rsid w:val="00A22952"/>
    <w:rsid w:val="00A276B0"/>
    <w:rsid w:val="00A30143"/>
    <w:rsid w:val="00A40D48"/>
    <w:rsid w:val="00A4389E"/>
    <w:rsid w:val="00A43C50"/>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34F5F"/>
    <w:rsid w:val="00B471E4"/>
    <w:rsid w:val="00B500B2"/>
    <w:rsid w:val="00B54007"/>
    <w:rsid w:val="00B56579"/>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7881"/>
    <w:rsid w:val="00C8003A"/>
    <w:rsid w:val="00C806B8"/>
    <w:rsid w:val="00C95766"/>
    <w:rsid w:val="00CA5E81"/>
    <w:rsid w:val="00CA66E2"/>
    <w:rsid w:val="00CB6DFA"/>
    <w:rsid w:val="00CC2D7B"/>
    <w:rsid w:val="00CC7FF9"/>
    <w:rsid w:val="00CE1CA8"/>
    <w:rsid w:val="00CE72A2"/>
    <w:rsid w:val="00D01FDA"/>
    <w:rsid w:val="00D02400"/>
    <w:rsid w:val="00D105A1"/>
    <w:rsid w:val="00D140B0"/>
    <w:rsid w:val="00D170DB"/>
    <w:rsid w:val="00D1710E"/>
    <w:rsid w:val="00D34209"/>
    <w:rsid w:val="00D43FA7"/>
    <w:rsid w:val="00D44BE7"/>
    <w:rsid w:val="00D60D12"/>
    <w:rsid w:val="00D61337"/>
    <w:rsid w:val="00D620AC"/>
    <w:rsid w:val="00D64F48"/>
    <w:rsid w:val="00D672A7"/>
    <w:rsid w:val="00D70B86"/>
    <w:rsid w:val="00D73356"/>
    <w:rsid w:val="00D8539B"/>
    <w:rsid w:val="00D854BE"/>
    <w:rsid w:val="00D90216"/>
    <w:rsid w:val="00DA5B5F"/>
    <w:rsid w:val="00DB1FA3"/>
    <w:rsid w:val="00DB6304"/>
    <w:rsid w:val="00DB7739"/>
    <w:rsid w:val="00DC3687"/>
    <w:rsid w:val="00DF47D7"/>
    <w:rsid w:val="00E0347C"/>
    <w:rsid w:val="00E162A0"/>
    <w:rsid w:val="00E162AE"/>
    <w:rsid w:val="00E16F52"/>
    <w:rsid w:val="00E201D7"/>
    <w:rsid w:val="00E2525C"/>
    <w:rsid w:val="00E274B8"/>
    <w:rsid w:val="00E34C92"/>
    <w:rsid w:val="00E36F6E"/>
    <w:rsid w:val="00E467F5"/>
    <w:rsid w:val="00E4681B"/>
    <w:rsid w:val="00E60611"/>
    <w:rsid w:val="00E628A8"/>
    <w:rsid w:val="00E63126"/>
    <w:rsid w:val="00E71959"/>
    <w:rsid w:val="00E81315"/>
    <w:rsid w:val="00E81C6D"/>
    <w:rsid w:val="00E922E9"/>
    <w:rsid w:val="00E97B55"/>
    <w:rsid w:val="00EA0B23"/>
    <w:rsid w:val="00EA2E09"/>
    <w:rsid w:val="00EA3878"/>
    <w:rsid w:val="00EB6705"/>
    <w:rsid w:val="00EC26EB"/>
    <w:rsid w:val="00ED0FAB"/>
    <w:rsid w:val="00EE70DF"/>
    <w:rsid w:val="00EE7BF3"/>
    <w:rsid w:val="00EF069E"/>
    <w:rsid w:val="00EF110B"/>
    <w:rsid w:val="00F02B1E"/>
    <w:rsid w:val="00F14452"/>
    <w:rsid w:val="00F24C90"/>
    <w:rsid w:val="00F3234F"/>
    <w:rsid w:val="00F432A0"/>
    <w:rsid w:val="00F47AC9"/>
    <w:rsid w:val="00F602CF"/>
    <w:rsid w:val="00F6667F"/>
    <w:rsid w:val="00F740AA"/>
    <w:rsid w:val="00F7703D"/>
    <w:rsid w:val="00F81260"/>
    <w:rsid w:val="00F82154"/>
    <w:rsid w:val="00F86A59"/>
    <w:rsid w:val="00F9105F"/>
    <w:rsid w:val="00FB43E6"/>
    <w:rsid w:val="00FB6CC9"/>
    <w:rsid w:val="00FC5639"/>
    <w:rsid w:val="00FC5E2D"/>
    <w:rsid w:val="00FD06CA"/>
    <w:rsid w:val="00FD28E2"/>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0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jerome1959@gmai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FR4NPO@cipf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2.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3.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1740</TotalTime>
  <Pages>20</Pages>
  <Words>3883</Words>
  <Characters>22137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Mark Jerome</cp:lastModifiedBy>
  <cp:revision>4</cp:revision>
  <dcterms:created xsi:type="dcterms:W3CDTF">2024-03-09T14:54:00Z</dcterms:created>
  <dcterms:modified xsi:type="dcterms:W3CDTF">2024-03-09T21:26:00Z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ies>
</file>