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36C7C" w14:textId="77777777"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243589C5" w14:textId="77777777"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34F3114D"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6BEB7C6E" w14:textId="77777777"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44117069" w14:textId="77777777"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6C124E13"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154A1841"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56913813"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1C210F2A"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3B4F8511"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74B0A99A" w14:textId="77777777" w:rsidR="00126569" w:rsidRPr="00EB6705" w:rsidRDefault="00126569" w:rsidP="00126569">
      <w:pPr>
        <w:jc w:val="both"/>
        <w:rPr>
          <w:rFonts w:ascii="Open Sans" w:hAnsi="Open Sans" w:cs="Open Sans"/>
          <w:sz w:val="20"/>
          <w:szCs w:val="20"/>
          <w:lang w:val="en-US"/>
        </w:rPr>
      </w:pPr>
    </w:p>
    <w:p w14:paraId="38675D46" w14:textId="77777777"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707228A8" w14:textId="77777777"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668EBA40" w14:textId="77777777"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0C8C27F5" w14:textId="77777777"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77E59B65" w14:textId="048F8F40"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w:t>
      </w:r>
      <w:proofErr w:type="spellStart"/>
      <w:proofErr w:type="gramStart"/>
      <w:r w:rsidR="00AC6610" w:rsidRPr="00EB6705">
        <w:rPr>
          <w:rFonts w:ascii="Open Sans" w:hAnsi="Open Sans" w:cs="Open Sans"/>
          <w:b/>
          <w:bCs/>
          <w:sz w:val="20"/>
          <w:szCs w:val="20"/>
        </w:rPr>
        <w:t>information:</w:t>
      </w:r>
      <w:r w:rsidR="00E9336A">
        <w:rPr>
          <w:rFonts w:ascii="Open Sans" w:hAnsi="Open Sans" w:cs="Open Sans"/>
          <w:b/>
          <w:bCs/>
          <w:sz w:val="20"/>
          <w:szCs w:val="20"/>
        </w:rPr>
        <w:t>rofef</w:t>
      </w:r>
      <w:proofErr w:type="spellEnd"/>
      <w:proofErr w:type="gramEnd"/>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2622A1B0" w14:textId="77777777" w:rsidTr="005F6717">
        <w:tc>
          <w:tcPr>
            <w:tcW w:w="1413" w:type="dxa"/>
          </w:tcPr>
          <w:p w14:paraId="3E877724" w14:textId="77777777"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6DF266E2" w14:textId="6F74F0AC" w:rsidR="00F6667F" w:rsidRPr="00EB6705" w:rsidRDefault="002A0D56">
            <w:pPr>
              <w:rPr>
                <w:rFonts w:ascii="Open Sans" w:hAnsi="Open Sans" w:cs="Open Sans"/>
                <w:sz w:val="20"/>
                <w:szCs w:val="20"/>
              </w:rPr>
            </w:pPr>
            <w:r>
              <w:rPr>
                <w:rFonts w:ascii="Open Sans" w:hAnsi="Open Sans" w:cs="Open Sans"/>
                <w:sz w:val="20"/>
                <w:szCs w:val="20"/>
              </w:rPr>
              <w:t>Temuri</w:t>
            </w:r>
          </w:p>
        </w:tc>
        <w:tc>
          <w:tcPr>
            <w:tcW w:w="5386" w:type="dxa"/>
          </w:tcPr>
          <w:p w14:paraId="0761DEE5" w14:textId="4C6EC08D"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p>
        </w:tc>
        <w:tc>
          <w:tcPr>
            <w:tcW w:w="3686" w:type="dxa"/>
          </w:tcPr>
          <w:p w14:paraId="50B0B528" w14:textId="1DAD6E6D" w:rsidR="00F6667F" w:rsidRPr="00EB6705" w:rsidRDefault="00E9336A">
            <w:pPr>
              <w:rPr>
                <w:rFonts w:ascii="Open Sans" w:hAnsi="Open Sans" w:cs="Open Sans"/>
                <w:sz w:val="20"/>
                <w:szCs w:val="20"/>
              </w:rPr>
            </w:pPr>
            <w:r>
              <w:rPr>
                <w:rFonts w:ascii="Open Sans" w:hAnsi="Open Sans" w:cs="Open Sans"/>
                <w:b/>
                <w:bCs/>
                <w:sz w:val="20"/>
                <w:szCs w:val="20"/>
              </w:rPr>
              <w:t>Georgian Federation of Professional Accountants and Auditors</w:t>
            </w:r>
          </w:p>
        </w:tc>
      </w:tr>
      <w:tr w:rsidR="00DB7739" w:rsidRPr="00EB6705" w14:paraId="1DB35DDE" w14:textId="77777777" w:rsidTr="005F6717">
        <w:tc>
          <w:tcPr>
            <w:tcW w:w="1413" w:type="dxa"/>
          </w:tcPr>
          <w:p w14:paraId="19A1B4D5" w14:textId="77777777"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BA30553" w14:textId="69CEF271" w:rsidR="00DB7739" w:rsidRPr="00EB6705" w:rsidRDefault="002A0D56">
            <w:pPr>
              <w:rPr>
                <w:rFonts w:ascii="Open Sans" w:hAnsi="Open Sans" w:cs="Open Sans"/>
                <w:sz w:val="20"/>
                <w:szCs w:val="20"/>
              </w:rPr>
            </w:pPr>
            <w:r>
              <w:rPr>
                <w:rFonts w:ascii="Open Sans" w:hAnsi="Open Sans" w:cs="Open Sans"/>
                <w:sz w:val="20"/>
                <w:szCs w:val="20"/>
              </w:rPr>
              <w:t>Partskhaladze</w:t>
            </w:r>
          </w:p>
        </w:tc>
        <w:tc>
          <w:tcPr>
            <w:tcW w:w="5386" w:type="dxa"/>
          </w:tcPr>
          <w:p w14:paraId="681038F6" w14:textId="77777777"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5166204A" w14:textId="77777777"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55F19870" w14:textId="77777777"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3071ED8F" w14:textId="7A28C1E1" w:rsidR="00DB7739" w:rsidRPr="00EB6705" w:rsidRDefault="00E9336A">
            <w:pPr>
              <w:rPr>
                <w:rFonts w:ascii="Open Sans" w:hAnsi="Open Sans" w:cs="Open Sans"/>
                <w:sz w:val="20"/>
                <w:szCs w:val="20"/>
              </w:rPr>
            </w:pPr>
            <w:r>
              <w:rPr>
                <w:rFonts w:ascii="Open Sans" w:hAnsi="Open Sans" w:cs="Open Sans"/>
                <w:sz w:val="20"/>
                <w:szCs w:val="20"/>
              </w:rPr>
              <w:t xml:space="preserve">Standards and Practise </w:t>
            </w:r>
            <w:proofErr w:type="spellStart"/>
            <w:r>
              <w:rPr>
                <w:rFonts w:ascii="Open Sans" w:hAnsi="Open Sans" w:cs="Open Sans"/>
                <w:sz w:val="20"/>
                <w:szCs w:val="20"/>
              </w:rPr>
              <w:t>Committe</w:t>
            </w:r>
            <w:proofErr w:type="spellEnd"/>
          </w:p>
        </w:tc>
      </w:tr>
      <w:tr w:rsidR="000C4E37" w:rsidRPr="00EB6705" w14:paraId="233B9689" w14:textId="77777777" w:rsidTr="005F6717">
        <w:tc>
          <w:tcPr>
            <w:tcW w:w="1413" w:type="dxa"/>
          </w:tcPr>
          <w:p w14:paraId="0524DC1A" w14:textId="7777777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721C8BBD" w14:textId="338CE498" w:rsidR="000C4E37" w:rsidRDefault="002A0D56" w:rsidP="000C4E37">
            <w:pPr>
              <w:rPr>
                <w:rFonts w:ascii="Open Sans" w:hAnsi="Open Sans" w:cs="Open Sans"/>
                <w:sz w:val="20"/>
                <w:szCs w:val="20"/>
              </w:rPr>
            </w:pPr>
            <w:r>
              <w:rPr>
                <w:rFonts w:ascii="Open Sans" w:hAnsi="Open Sans" w:cs="Open Sans"/>
                <w:sz w:val="20"/>
                <w:szCs w:val="20"/>
              </w:rPr>
              <w:t>temuri.partskhaladze@crowe.ge</w:t>
            </w:r>
          </w:p>
        </w:tc>
        <w:tc>
          <w:tcPr>
            <w:tcW w:w="5386" w:type="dxa"/>
          </w:tcPr>
          <w:p w14:paraId="4C29B7A3" w14:textId="77777777"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7776CA4B" w14:textId="7253234F" w:rsidR="000C4E37" w:rsidRPr="00EB6705" w:rsidRDefault="00E9336A" w:rsidP="000C4E37">
            <w:pPr>
              <w:rPr>
                <w:rFonts w:ascii="Open Sans" w:hAnsi="Open Sans" w:cs="Open Sans"/>
                <w:sz w:val="20"/>
                <w:szCs w:val="20"/>
              </w:rPr>
            </w:pPr>
            <w:r>
              <w:rPr>
                <w:rFonts w:ascii="Open Sans" w:hAnsi="Open Sans" w:cs="Open Sans"/>
                <w:sz w:val="20"/>
                <w:szCs w:val="20"/>
              </w:rPr>
              <w:t>Georgia</w:t>
            </w:r>
          </w:p>
        </w:tc>
      </w:tr>
      <w:tr w:rsidR="000C4E37" w:rsidRPr="00EB6705" w14:paraId="6A3B8B4F" w14:textId="77777777" w:rsidTr="005F6717">
        <w:tc>
          <w:tcPr>
            <w:tcW w:w="1413" w:type="dxa"/>
          </w:tcPr>
          <w:p w14:paraId="400ABFD7" w14:textId="77777777"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776E6C2D" w14:textId="2D3ADE7F" w:rsidR="000C4E37" w:rsidRPr="00EB6705" w:rsidRDefault="002A0D56" w:rsidP="000C4E37">
            <w:pPr>
              <w:rPr>
                <w:rFonts w:ascii="Open Sans" w:hAnsi="Open Sans" w:cs="Open Sans"/>
                <w:sz w:val="20"/>
                <w:szCs w:val="20"/>
              </w:rPr>
            </w:pPr>
            <w:r>
              <w:rPr>
                <w:rFonts w:ascii="Open Sans" w:hAnsi="Open Sans" w:cs="Open Sans"/>
                <w:sz w:val="20"/>
                <w:szCs w:val="20"/>
              </w:rPr>
              <w:t xml:space="preserve">Head of Standards and practise </w:t>
            </w:r>
            <w:proofErr w:type="spellStart"/>
            <w:r>
              <w:rPr>
                <w:rFonts w:ascii="Open Sans" w:hAnsi="Open Sans" w:cs="Open Sans"/>
                <w:sz w:val="20"/>
                <w:szCs w:val="20"/>
              </w:rPr>
              <w:t>commetee</w:t>
            </w:r>
            <w:proofErr w:type="spellEnd"/>
          </w:p>
        </w:tc>
        <w:tc>
          <w:tcPr>
            <w:tcW w:w="5386" w:type="dxa"/>
          </w:tcPr>
          <w:p w14:paraId="6238E8B7"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3C44A3C0" w14:textId="77777777"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304ACC7A"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409321FD" w14:textId="77777777"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678BAD31" w14:textId="77777777" w:rsidR="000C4E37" w:rsidRPr="00BA2063" w:rsidRDefault="000C4E37" w:rsidP="000C4E37">
            <w:pPr>
              <w:pStyle w:val="ListParagraph"/>
              <w:numPr>
                <w:ilvl w:val="0"/>
                <w:numId w:val="16"/>
              </w:numPr>
              <w:rPr>
                <w:rFonts w:ascii="Open Sans" w:hAnsi="Open Sans" w:cs="Open Sans"/>
                <w:b/>
                <w:bCs/>
                <w:sz w:val="20"/>
                <w:szCs w:val="20"/>
              </w:rPr>
            </w:pPr>
            <w:r w:rsidRPr="002A0D56">
              <w:rPr>
                <w:rFonts w:ascii="Open Sans" w:hAnsi="Open Sans" w:cs="Open Sans"/>
                <w:b/>
                <w:bCs/>
                <w:sz w:val="20"/>
                <w:szCs w:val="20"/>
              </w:rPr>
              <w:t>professional accounting organisation</w:t>
            </w:r>
            <w:r w:rsidRPr="00BA2063">
              <w:rPr>
                <w:rFonts w:ascii="Open Sans" w:hAnsi="Open Sans" w:cs="Open Sans"/>
                <w:sz w:val="20"/>
                <w:szCs w:val="20"/>
              </w:rPr>
              <w:t xml:space="preserve">, </w:t>
            </w:r>
          </w:p>
          <w:p w14:paraId="7480192C"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7152AE28"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0BF03A6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19FE5838"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4D8B100B"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6AF35C92"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1533406E" w14:textId="09A6FC83" w:rsidR="000C4E37" w:rsidRPr="00EB6705" w:rsidRDefault="00E9336A" w:rsidP="000C4E37">
            <w:pPr>
              <w:rPr>
                <w:rFonts w:ascii="Open Sans" w:hAnsi="Open Sans" w:cs="Open Sans"/>
                <w:sz w:val="20"/>
                <w:szCs w:val="20"/>
              </w:rPr>
            </w:pPr>
            <w:proofErr w:type="spellStart"/>
            <w:r w:rsidRPr="002A0D56">
              <w:rPr>
                <w:rFonts w:ascii="Open Sans" w:hAnsi="Open Sans" w:cs="Open Sans"/>
                <w:b/>
                <w:bCs/>
                <w:sz w:val="20"/>
                <w:szCs w:val="20"/>
              </w:rPr>
              <w:t>fessional</w:t>
            </w:r>
            <w:proofErr w:type="spellEnd"/>
            <w:r w:rsidRPr="002A0D56">
              <w:rPr>
                <w:rFonts w:ascii="Open Sans" w:hAnsi="Open Sans" w:cs="Open Sans"/>
                <w:b/>
                <w:bCs/>
                <w:sz w:val="20"/>
                <w:szCs w:val="20"/>
              </w:rPr>
              <w:t xml:space="preserve"> accounting organisation</w:t>
            </w:r>
          </w:p>
        </w:tc>
      </w:tr>
    </w:tbl>
    <w:p w14:paraId="095C3D41" w14:textId="77777777"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558323A4" w14:textId="77777777" w:rsidTr="005F6717">
        <w:tc>
          <w:tcPr>
            <w:tcW w:w="7366" w:type="dxa"/>
          </w:tcPr>
          <w:p w14:paraId="32A69B24"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3C9A7438"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C694E68" w14:textId="77777777" w:rsidR="006C21F6" w:rsidRPr="002A0D56" w:rsidRDefault="006C21F6" w:rsidP="00B9538E">
            <w:pPr>
              <w:rPr>
                <w:rFonts w:ascii="Open Sans" w:hAnsi="Open Sans" w:cs="Open Sans"/>
                <w:b/>
                <w:color w:val="000000"/>
                <w:sz w:val="20"/>
                <w:szCs w:val="20"/>
              </w:rPr>
            </w:pPr>
            <w:r w:rsidRPr="002A0D56">
              <w:rPr>
                <w:rFonts w:ascii="Open Sans" w:hAnsi="Open Sans" w:cs="Open Sans"/>
                <w:b/>
                <w:color w:val="000000"/>
                <w:sz w:val="20"/>
                <w:szCs w:val="20"/>
              </w:rPr>
              <w:t>Agree</w:t>
            </w:r>
          </w:p>
          <w:p w14:paraId="3EF198E3" w14:textId="77777777"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lastRenderedPageBreak/>
              <w:t>Disagree</w:t>
            </w:r>
          </w:p>
        </w:tc>
      </w:tr>
    </w:tbl>
    <w:p w14:paraId="22FB28FD" w14:textId="77777777" w:rsidR="003755E7" w:rsidRDefault="003755E7">
      <w:pPr>
        <w:rPr>
          <w:rFonts w:ascii="Open Sans" w:hAnsi="Open Sans" w:cs="Open Sans"/>
          <w:b/>
          <w:bCs/>
          <w:sz w:val="20"/>
          <w:szCs w:val="20"/>
        </w:rPr>
      </w:pPr>
    </w:p>
    <w:p w14:paraId="186046A8" w14:textId="7777777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40835F37" w14:textId="77777777"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2779501E" w14:textId="77777777" w:rsidTr="000D4C1B">
        <w:tc>
          <w:tcPr>
            <w:tcW w:w="14312" w:type="dxa"/>
            <w:gridSpan w:val="3"/>
          </w:tcPr>
          <w:p w14:paraId="0AE8A610"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1A376891" w14:textId="77777777" w:rsidR="0021502E" w:rsidRDefault="0021502E" w:rsidP="00A959C4">
            <w:pPr>
              <w:jc w:val="both"/>
              <w:rPr>
                <w:rFonts w:ascii="Open Sans" w:hAnsi="Open Sans" w:cs="Open Sans"/>
                <w:b/>
                <w:bCs/>
                <w:sz w:val="20"/>
                <w:szCs w:val="20"/>
                <w:lang w:val="en-US"/>
              </w:rPr>
            </w:pPr>
          </w:p>
          <w:p w14:paraId="5AB3315B" w14:textId="77777777"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0CFB011A" w14:textId="77777777" w:rsidTr="00D90216">
        <w:trPr>
          <w:trHeight w:val="510"/>
        </w:trPr>
        <w:tc>
          <w:tcPr>
            <w:tcW w:w="4388" w:type="dxa"/>
          </w:tcPr>
          <w:p w14:paraId="7403637D"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410CB563" w14:textId="77777777"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1F975DED" w14:textId="77777777"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08C0CF4C" w14:textId="77777777" w:rsidTr="00710CE2">
        <w:tc>
          <w:tcPr>
            <w:tcW w:w="4388" w:type="dxa"/>
            <w:tcBorders>
              <w:bottom w:val="single" w:sz="4" w:space="0" w:color="auto"/>
            </w:tcBorders>
          </w:tcPr>
          <w:p w14:paraId="1465F82C" w14:textId="77777777"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26EE6C87" w14:textId="77777777"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23C647E5" w14:textId="7C724178" w:rsidR="00A7789F" w:rsidRPr="002A0D56" w:rsidRDefault="002A0D56" w:rsidP="00A959C4">
            <w:pPr>
              <w:jc w:val="both"/>
              <w:rPr>
                <w:rFonts w:ascii="Open Sans" w:hAnsi="Open Sans" w:cs="Open Sans"/>
                <w:sz w:val="20"/>
                <w:szCs w:val="20"/>
                <w:lang w:val="en-US"/>
              </w:rPr>
            </w:pPr>
            <w:r w:rsidRPr="002A0D56">
              <w:rPr>
                <w:rFonts w:ascii="Open Sans" w:hAnsi="Open Sans" w:cs="Open Sans"/>
                <w:sz w:val="20"/>
                <w:szCs w:val="20"/>
                <w:lang w:val="en-US"/>
              </w:rPr>
              <w:t>agree</w:t>
            </w:r>
          </w:p>
        </w:tc>
      </w:tr>
    </w:tbl>
    <w:p w14:paraId="67DD4570" w14:textId="7777777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7987BC8" w14:textId="77777777" w:rsidTr="00C302D4">
        <w:tc>
          <w:tcPr>
            <w:tcW w:w="14312" w:type="dxa"/>
            <w:gridSpan w:val="3"/>
          </w:tcPr>
          <w:p w14:paraId="2EBDC7AF"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41A250ED" w14:textId="77777777" w:rsidR="0021502E" w:rsidRDefault="0021502E" w:rsidP="00A959C4">
            <w:pPr>
              <w:rPr>
                <w:rFonts w:ascii="Open Sans" w:hAnsi="Open Sans" w:cs="Open Sans"/>
                <w:b/>
                <w:bCs/>
                <w:sz w:val="20"/>
                <w:szCs w:val="20"/>
                <w:lang w:val="en-US"/>
              </w:rPr>
            </w:pPr>
          </w:p>
          <w:p w14:paraId="0B077176" w14:textId="77777777"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BE224AA" w14:textId="77777777" w:rsidTr="00D90216">
        <w:trPr>
          <w:trHeight w:val="283"/>
        </w:trPr>
        <w:tc>
          <w:tcPr>
            <w:tcW w:w="4349" w:type="dxa"/>
            <w:vAlign w:val="center"/>
          </w:tcPr>
          <w:p w14:paraId="6FD17F2B"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53089AD1" w14:textId="77777777"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C282A0E" w14:textId="77777777"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35CBA01" w14:textId="77777777" w:rsidTr="00FE20EA">
        <w:trPr>
          <w:trHeight w:val="283"/>
        </w:trPr>
        <w:tc>
          <w:tcPr>
            <w:tcW w:w="4349" w:type="dxa"/>
            <w:vAlign w:val="center"/>
          </w:tcPr>
          <w:p w14:paraId="2DA575D6" w14:textId="77777777"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FA651C2" w14:textId="77777777"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6A9B5019" w14:textId="7503EB44" w:rsidR="00FE20EA" w:rsidRPr="00D90216" w:rsidRDefault="002A0D56" w:rsidP="00D90216">
            <w:pPr>
              <w:spacing w:before="120" w:after="120"/>
              <w:rPr>
                <w:rFonts w:ascii="Open Sans" w:hAnsi="Open Sans" w:cs="Open Sans"/>
                <w:b/>
                <w:bCs/>
                <w:sz w:val="20"/>
                <w:szCs w:val="20"/>
                <w:lang w:val="en-US"/>
              </w:rPr>
            </w:pPr>
            <w:r w:rsidRPr="002A0D56">
              <w:rPr>
                <w:rFonts w:ascii="Open Sans" w:hAnsi="Open Sans" w:cs="Open Sans"/>
                <w:sz w:val="20"/>
                <w:szCs w:val="20"/>
                <w:lang w:val="en-US"/>
              </w:rPr>
              <w:t>agree</w:t>
            </w:r>
          </w:p>
        </w:tc>
      </w:tr>
      <w:tr w:rsidR="00A7789F" w:rsidRPr="00EB6705" w14:paraId="21B3DB60" w14:textId="77777777" w:rsidTr="00B14710">
        <w:tc>
          <w:tcPr>
            <w:tcW w:w="4349" w:type="dxa"/>
          </w:tcPr>
          <w:p w14:paraId="775899EB" w14:textId="77777777"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D15B93F" w14:textId="77777777"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65705683" w14:textId="74975157" w:rsidR="00A7789F" w:rsidRPr="00EB6705" w:rsidRDefault="002A0D56" w:rsidP="005476F2">
            <w:pPr>
              <w:spacing w:before="120" w:after="120"/>
              <w:rPr>
                <w:rFonts w:ascii="Open Sans" w:hAnsi="Open Sans" w:cs="Open Sans"/>
                <w:b/>
                <w:bCs/>
                <w:sz w:val="20"/>
                <w:szCs w:val="20"/>
                <w:lang w:val="en-US"/>
              </w:rPr>
            </w:pPr>
            <w:r w:rsidRPr="002A0D56">
              <w:rPr>
                <w:rFonts w:ascii="Open Sans" w:hAnsi="Open Sans" w:cs="Open Sans"/>
                <w:sz w:val="20"/>
                <w:szCs w:val="20"/>
                <w:lang w:val="en-US"/>
              </w:rPr>
              <w:t>agree</w:t>
            </w:r>
          </w:p>
        </w:tc>
      </w:tr>
      <w:tr w:rsidR="00D61337" w:rsidRPr="00EB6705" w14:paraId="63070DA8" w14:textId="77777777" w:rsidTr="00B14710">
        <w:tc>
          <w:tcPr>
            <w:tcW w:w="4349" w:type="dxa"/>
          </w:tcPr>
          <w:p w14:paraId="0BF3A80D" w14:textId="77777777"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1D82BAB7" w14:textId="77777777"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3B41B69A" w14:textId="762CC32A" w:rsidR="00D61337" w:rsidRPr="00EB6705" w:rsidRDefault="002A0D56" w:rsidP="005476F2">
            <w:pPr>
              <w:spacing w:before="120" w:after="120"/>
              <w:rPr>
                <w:rFonts w:ascii="Open Sans" w:hAnsi="Open Sans" w:cs="Open Sans"/>
                <w:b/>
                <w:bCs/>
                <w:sz w:val="20"/>
                <w:szCs w:val="20"/>
                <w:lang w:val="en-US"/>
              </w:rPr>
            </w:pPr>
            <w:r w:rsidRPr="002A0D56">
              <w:rPr>
                <w:rFonts w:ascii="Open Sans" w:hAnsi="Open Sans" w:cs="Open Sans"/>
                <w:sz w:val="20"/>
                <w:szCs w:val="20"/>
                <w:lang w:val="en-US"/>
              </w:rPr>
              <w:t>agree</w:t>
            </w:r>
          </w:p>
        </w:tc>
      </w:tr>
      <w:tr w:rsidR="00D61337" w:rsidRPr="00EB6705" w14:paraId="2A27D506" w14:textId="77777777" w:rsidTr="00B14710">
        <w:tc>
          <w:tcPr>
            <w:tcW w:w="4349" w:type="dxa"/>
          </w:tcPr>
          <w:p w14:paraId="20A3CC76" w14:textId="77777777"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46E789F5" w14:textId="77777777"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3BA45398" w14:textId="2F1410DB" w:rsidR="00D61337" w:rsidRPr="00EB6705" w:rsidRDefault="002A0D56" w:rsidP="005476F2">
            <w:pPr>
              <w:spacing w:before="120" w:after="120"/>
              <w:rPr>
                <w:rFonts w:ascii="Open Sans" w:hAnsi="Open Sans" w:cs="Open Sans"/>
                <w:b/>
                <w:bCs/>
                <w:sz w:val="20"/>
                <w:szCs w:val="20"/>
                <w:lang w:val="en-US"/>
              </w:rPr>
            </w:pPr>
            <w:r w:rsidRPr="002A0D56">
              <w:rPr>
                <w:rFonts w:ascii="Open Sans" w:hAnsi="Open Sans" w:cs="Open Sans"/>
                <w:sz w:val="20"/>
                <w:szCs w:val="20"/>
                <w:lang w:val="en-US"/>
              </w:rPr>
              <w:t>agree</w:t>
            </w:r>
          </w:p>
        </w:tc>
      </w:tr>
      <w:tr w:rsidR="00D61337" w:rsidRPr="00EB6705" w14:paraId="785E36C7" w14:textId="77777777" w:rsidTr="00B14710">
        <w:tc>
          <w:tcPr>
            <w:tcW w:w="4349" w:type="dxa"/>
          </w:tcPr>
          <w:p w14:paraId="552402BF" w14:textId="77777777"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618A42BC" w14:textId="77777777"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102F0EFA" w14:textId="4D1D2DC4" w:rsidR="00D61337" w:rsidRPr="00EB6705" w:rsidRDefault="002A0D56" w:rsidP="005476F2">
            <w:pPr>
              <w:spacing w:before="120" w:after="120"/>
              <w:rPr>
                <w:rFonts w:ascii="Open Sans" w:hAnsi="Open Sans" w:cs="Open Sans"/>
                <w:b/>
                <w:bCs/>
                <w:sz w:val="20"/>
                <w:szCs w:val="20"/>
                <w:lang w:val="en-US"/>
              </w:rPr>
            </w:pPr>
            <w:r w:rsidRPr="002A0D56">
              <w:rPr>
                <w:rFonts w:ascii="Open Sans" w:hAnsi="Open Sans" w:cs="Open Sans"/>
                <w:sz w:val="20"/>
                <w:szCs w:val="20"/>
                <w:lang w:val="en-US"/>
              </w:rPr>
              <w:t>agree</w:t>
            </w:r>
          </w:p>
        </w:tc>
      </w:tr>
    </w:tbl>
    <w:p w14:paraId="516865B4" w14:textId="77777777"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1C0E6A74" w14:textId="77777777" w:rsidTr="00C508AE">
        <w:tc>
          <w:tcPr>
            <w:tcW w:w="14312" w:type="dxa"/>
            <w:gridSpan w:val="3"/>
          </w:tcPr>
          <w:p w14:paraId="2D129C82"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3E0AF334" w14:textId="77777777" w:rsidR="0021502E" w:rsidRDefault="0021502E" w:rsidP="00515388">
            <w:pPr>
              <w:jc w:val="both"/>
              <w:rPr>
                <w:rFonts w:ascii="Open Sans" w:hAnsi="Open Sans" w:cs="Open Sans"/>
                <w:b/>
                <w:bCs/>
                <w:sz w:val="20"/>
                <w:szCs w:val="20"/>
                <w:lang w:val="en-US"/>
              </w:rPr>
            </w:pPr>
          </w:p>
          <w:p w14:paraId="4520F2C6" w14:textId="77777777"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539FD612" w14:textId="77777777" w:rsidTr="00E36F6E">
        <w:trPr>
          <w:trHeight w:val="397"/>
        </w:trPr>
        <w:tc>
          <w:tcPr>
            <w:tcW w:w="4388" w:type="dxa"/>
          </w:tcPr>
          <w:p w14:paraId="7016936B" w14:textId="77777777" w:rsidR="007A3859" w:rsidRPr="00EB6705" w:rsidRDefault="007A3859" w:rsidP="007A3859">
            <w:pPr>
              <w:jc w:val="both"/>
              <w:rPr>
                <w:rFonts w:ascii="Open Sans" w:hAnsi="Open Sans" w:cs="Open Sans"/>
                <w:sz w:val="20"/>
                <w:szCs w:val="20"/>
              </w:rPr>
            </w:pPr>
          </w:p>
        </w:tc>
        <w:tc>
          <w:tcPr>
            <w:tcW w:w="1642" w:type="dxa"/>
            <w:vAlign w:val="center"/>
          </w:tcPr>
          <w:p w14:paraId="2D226150" w14:textId="77777777"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1AFC1434" w14:textId="77777777"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46F3117C" w14:textId="77777777" w:rsidTr="00E36F6E">
        <w:trPr>
          <w:trHeight w:val="397"/>
        </w:trPr>
        <w:tc>
          <w:tcPr>
            <w:tcW w:w="4388" w:type="dxa"/>
          </w:tcPr>
          <w:p w14:paraId="35E45FCF" w14:textId="77777777"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153C57ED" w14:textId="77777777"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4705DCC3" w14:textId="53EEAFE4" w:rsidR="00FE20EA" w:rsidRPr="00EB6705" w:rsidRDefault="002A0D56" w:rsidP="00E36F6E">
            <w:pPr>
              <w:rPr>
                <w:rFonts w:ascii="Open Sans" w:hAnsi="Open Sans" w:cs="Open Sans"/>
                <w:b/>
                <w:bCs/>
                <w:sz w:val="20"/>
                <w:szCs w:val="20"/>
                <w:lang w:val="en-US"/>
              </w:rPr>
            </w:pPr>
            <w:r w:rsidRPr="002A0D56">
              <w:rPr>
                <w:rFonts w:ascii="Open Sans" w:hAnsi="Open Sans" w:cs="Open Sans"/>
                <w:sz w:val="20"/>
                <w:szCs w:val="20"/>
                <w:lang w:val="en-US"/>
              </w:rPr>
              <w:t>agree</w:t>
            </w:r>
          </w:p>
        </w:tc>
      </w:tr>
    </w:tbl>
    <w:p w14:paraId="75F2AA6B" w14:textId="77777777" w:rsidR="007A557C" w:rsidRDefault="007A557C">
      <w:pPr>
        <w:rPr>
          <w:rFonts w:ascii="Open Sans" w:hAnsi="Open Sans" w:cs="Open Sans"/>
          <w:sz w:val="20"/>
          <w:szCs w:val="20"/>
        </w:rPr>
      </w:pPr>
    </w:p>
    <w:p w14:paraId="7980CC0B" w14:textId="77777777" w:rsidR="00E81C6D" w:rsidRDefault="00E81C6D">
      <w:pPr>
        <w:rPr>
          <w:rFonts w:ascii="Open Sans" w:hAnsi="Open Sans" w:cs="Open Sans"/>
          <w:sz w:val="20"/>
          <w:szCs w:val="20"/>
        </w:rPr>
      </w:pPr>
    </w:p>
    <w:p w14:paraId="5D20C7E4"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386C6B11" w14:textId="77777777" w:rsidTr="00BD6DE5">
        <w:tc>
          <w:tcPr>
            <w:tcW w:w="14312" w:type="dxa"/>
            <w:gridSpan w:val="3"/>
          </w:tcPr>
          <w:p w14:paraId="4DA16672"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43E3FD7A" w14:textId="77777777" w:rsidR="008A1B93" w:rsidRDefault="008A1B93" w:rsidP="00515388">
            <w:pPr>
              <w:jc w:val="both"/>
              <w:rPr>
                <w:rFonts w:ascii="Open Sans" w:hAnsi="Open Sans" w:cs="Open Sans"/>
                <w:b/>
                <w:bCs/>
                <w:sz w:val="20"/>
                <w:szCs w:val="20"/>
                <w:lang w:val="en-US"/>
              </w:rPr>
            </w:pPr>
          </w:p>
          <w:p w14:paraId="1C8017E6"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79219F94" w14:textId="77777777" w:rsidR="008A1B93" w:rsidRPr="007271BB" w:rsidRDefault="008A1B93" w:rsidP="00BD168A">
            <w:pPr>
              <w:rPr>
                <w:rFonts w:ascii="Open Sans" w:hAnsi="Open Sans" w:cs="Open Sans"/>
                <w:color w:val="000000" w:themeColor="text1"/>
                <w:sz w:val="20"/>
                <w:szCs w:val="20"/>
              </w:rPr>
            </w:pPr>
          </w:p>
          <w:p w14:paraId="19F3E67B"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3CDDBDF2" w14:textId="77777777" w:rsidR="008A1B93" w:rsidRDefault="008A1B93" w:rsidP="00BD168A">
            <w:pPr>
              <w:rPr>
                <w:rFonts w:ascii="Open Sans" w:hAnsi="Open Sans" w:cs="Open Sans"/>
                <w:color w:val="000000" w:themeColor="text1"/>
                <w:sz w:val="20"/>
                <w:szCs w:val="20"/>
              </w:rPr>
            </w:pPr>
          </w:p>
          <w:p w14:paraId="21CCCEC6"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49253DF2" w14:textId="77777777" w:rsidR="008A1B93" w:rsidRPr="007271BB" w:rsidRDefault="008A1B93" w:rsidP="007271BB">
            <w:pPr>
              <w:rPr>
                <w:rFonts w:ascii="Open Sans" w:hAnsi="Open Sans" w:cs="Open Sans"/>
                <w:color w:val="000000" w:themeColor="text1"/>
                <w:sz w:val="20"/>
                <w:szCs w:val="20"/>
              </w:rPr>
            </w:pPr>
          </w:p>
          <w:p w14:paraId="34C659B6" w14:textId="77777777" w:rsidR="008A1B93" w:rsidRPr="002A1419" w:rsidRDefault="008A1B93" w:rsidP="002A1419">
            <w:pPr>
              <w:rPr>
                <w:rFonts w:ascii="Open Sans" w:hAnsi="Open Sans" w:cs="Open Sans"/>
                <w:color w:val="000000" w:themeColor="text1"/>
                <w:sz w:val="18"/>
                <w:szCs w:val="18"/>
              </w:rPr>
            </w:pPr>
          </w:p>
        </w:tc>
      </w:tr>
      <w:tr w:rsidR="00FE20EA" w:rsidRPr="00EB6705" w14:paraId="7A1F5102" w14:textId="77777777" w:rsidTr="00A276B0">
        <w:tc>
          <w:tcPr>
            <w:tcW w:w="4388" w:type="dxa"/>
          </w:tcPr>
          <w:p w14:paraId="32543DBF" w14:textId="77777777" w:rsidR="00FE20EA" w:rsidRPr="00EB6705" w:rsidRDefault="00FE20EA" w:rsidP="00FE20EA">
            <w:pPr>
              <w:jc w:val="both"/>
              <w:rPr>
                <w:rFonts w:ascii="Open Sans" w:hAnsi="Open Sans" w:cs="Open Sans"/>
                <w:b/>
                <w:bCs/>
                <w:sz w:val="20"/>
                <w:szCs w:val="20"/>
                <w:lang w:val="en-US"/>
              </w:rPr>
            </w:pPr>
          </w:p>
        </w:tc>
        <w:tc>
          <w:tcPr>
            <w:tcW w:w="1642" w:type="dxa"/>
          </w:tcPr>
          <w:p w14:paraId="64D1A8AB" w14:textId="77777777"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5A40919E" w14:textId="77777777"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0DC260FA" w14:textId="77777777" w:rsidTr="00A276B0">
        <w:tc>
          <w:tcPr>
            <w:tcW w:w="4388" w:type="dxa"/>
          </w:tcPr>
          <w:p w14:paraId="1E73A82C" w14:textId="77777777"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56076FEF" w14:textId="77777777"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765DF664" w14:textId="583E2368" w:rsidR="0054631C" w:rsidRPr="00EB6705" w:rsidRDefault="002A0D56" w:rsidP="00FE20EA">
            <w:pPr>
              <w:rPr>
                <w:rFonts w:ascii="Open Sans" w:hAnsi="Open Sans" w:cs="Open Sans"/>
                <w:b/>
                <w:bCs/>
                <w:sz w:val="20"/>
                <w:szCs w:val="20"/>
                <w:lang w:val="en-US"/>
              </w:rPr>
            </w:pPr>
            <w:r w:rsidRPr="002A0D56">
              <w:rPr>
                <w:rFonts w:ascii="Open Sans" w:hAnsi="Open Sans" w:cs="Open Sans"/>
                <w:sz w:val="20"/>
                <w:szCs w:val="20"/>
                <w:lang w:val="en-US"/>
              </w:rPr>
              <w:t>agree</w:t>
            </w:r>
          </w:p>
        </w:tc>
      </w:tr>
      <w:tr w:rsidR="0054631C" w:rsidRPr="00EB6705" w14:paraId="3E30F662" w14:textId="77777777" w:rsidTr="00A276B0">
        <w:tc>
          <w:tcPr>
            <w:tcW w:w="4388" w:type="dxa"/>
          </w:tcPr>
          <w:p w14:paraId="750F1A07" w14:textId="77777777"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5F667C1F" w14:textId="77777777"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79B49B95" w14:textId="77777777" w:rsidR="0054631C" w:rsidRPr="00EB6705" w:rsidRDefault="0054631C" w:rsidP="00FE20EA">
            <w:pPr>
              <w:rPr>
                <w:rFonts w:ascii="Open Sans" w:hAnsi="Open Sans" w:cs="Open Sans"/>
                <w:b/>
                <w:bCs/>
                <w:sz w:val="20"/>
                <w:szCs w:val="20"/>
                <w:lang w:val="en-US"/>
              </w:rPr>
            </w:pPr>
          </w:p>
        </w:tc>
        <w:tc>
          <w:tcPr>
            <w:tcW w:w="8282" w:type="dxa"/>
          </w:tcPr>
          <w:p w14:paraId="20C199AB" w14:textId="2809A14C" w:rsidR="0054631C" w:rsidRPr="00EB6705" w:rsidRDefault="002A0D56" w:rsidP="00FE20EA">
            <w:pPr>
              <w:rPr>
                <w:rFonts w:ascii="Open Sans" w:hAnsi="Open Sans" w:cs="Open Sans"/>
                <w:b/>
                <w:bCs/>
                <w:sz w:val="20"/>
                <w:szCs w:val="20"/>
                <w:lang w:val="en-US"/>
              </w:rPr>
            </w:pPr>
            <w:r w:rsidRPr="002A0D56">
              <w:rPr>
                <w:rFonts w:ascii="Open Sans" w:hAnsi="Open Sans" w:cs="Open Sans"/>
                <w:sz w:val="20"/>
                <w:szCs w:val="20"/>
                <w:lang w:val="en-US"/>
              </w:rPr>
              <w:t>agree</w:t>
            </w:r>
          </w:p>
        </w:tc>
      </w:tr>
      <w:tr w:rsidR="00FE20EA" w:rsidRPr="00EB6705" w14:paraId="0F156E61" w14:textId="77777777" w:rsidTr="00A276B0">
        <w:tc>
          <w:tcPr>
            <w:tcW w:w="4388" w:type="dxa"/>
          </w:tcPr>
          <w:p w14:paraId="7768EF74" w14:textId="77777777"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0FB73DE3" w14:textId="77777777"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03CDF3FA" w14:textId="55AFBFF7" w:rsidR="00FE20EA" w:rsidRPr="00EB6705" w:rsidRDefault="002A0D56" w:rsidP="00FE20EA">
            <w:pPr>
              <w:rPr>
                <w:rFonts w:ascii="Open Sans" w:hAnsi="Open Sans" w:cs="Open Sans"/>
                <w:b/>
                <w:bCs/>
                <w:sz w:val="20"/>
                <w:szCs w:val="20"/>
                <w:lang w:val="en-US"/>
              </w:rPr>
            </w:pPr>
            <w:r w:rsidRPr="002A0D56">
              <w:rPr>
                <w:rFonts w:ascii="Open Sans" w:hAnsi="Open Sans" w:cs="Open Sans"/>
                <w:sz w:val="20"/>
                <w:szCs w:val="20"/>
                <w:lang w:val="en-US"/>
              </w:rPr>
              <w:t>agree</w:t>
            </w:r>
          </w:p>
        </w:tc>
      </w:tr>
      <w:tr w:rsidR="00EF069E" w:rsidRPr="00EB6705" w14:paraId="7E6A925A" w14:textId="77777777" w:rsidTr="00A276B0">
        <w:tc>
          <w:tcPr>
            <w:tcW w:w="4388" w:type="dxa"/>
          </w:tcPr>
          <w:p w14:paraId="44382753" w14:textId="77777777"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39497BD0" w14:textId="77777777"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531F9A2D" w14:textId="57CCEA9B" w:rsidR="00EF069E" w:rsidRPr="00EB6705" w:rsidRDefault="002A0D56" w:rsidP="00FE20EA">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51AA8CFF" w14:textId="77777777" w:rsidTr="00A276B0">
        <w:tc>
          <w:tcPr>
            <w:tcW w:w="4388" w:type="dxa"/>
          </w:tcPr>
          <w:p w14:paraId="597D7703"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3D4B92B8" w14:textId="77777777"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17487483" w14:textId="0D013F99"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08F6C4BC" w14:textId="77777777" w:rsidTr="00A276B0">
        <w:tc>
          <w:tcPr>
            <w:tcW w:w="4388" w:type="dxa"/>
          </w:tcPr>
          <w:p w14:paraId="16EFF073"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0DE82F24" w14:textId="77777777"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1F6536DF" w14:textId="28B96D53"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16D9E649" w14:textId="77777777" w:rsidTr="00A276B0">
        <w:tc>
          <w:tcPr>
            <w:tcW w:w="4388" w:type="dxa"/>
          </w:tcPr>
          <w:p w14:paraId="7DE60ADA"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7D3B53FD" w14:textId="77777777"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6812086B" w14:textId="06C703BD"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31A79F13" w14:textId="77777777" w:rsidTr="00A276B0">
        <w:tc>
          <w:tcPr>
            <w:tcW w:w="4388" w:type="dxa"/>
          </w:tcPr>
          <w:p w14:paraId="40644A33"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627F4B89" w14:textId="77777777"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4881ABC6" w14:textId="61994552"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18DD267D" w14:textId="77777777" w:rsidTr="00A276B0">
        <w:tc>
          <w:tcPr>
            <w:tcW w:w="4388" w:type="dxa"/>
          </w:tcPr>
          <w:p w14:paraId="068E7512"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222DECDD" w14:textId="77777777"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56E48C09" w14:textId="48719750"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036B438F" w14:textId="77777777" w:rsidTr="00A276B0">
        <w:tc>
          <w:tcPr>
            <w:tcW w:w="4388" w:type="dxa"/>
          </w:tcPr>
          <w:p w14:paraId="771A4E7E"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474223BF" w14:textId="77777777"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4F62267C" w14:textId="4AB36892"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r w:rsidR="00B62A32" w:rsidRPr="00EB6705" w14:paraId="342B38DD" w14:textId="77777777" w:rsidTr="00A276B0">
        <w:tc>
          <w:tcPr>
            <w:tcW w:w="4388" w:type="dxa"/>
          </w:tcPr>
          <w:p w14:paraId="450B76A0" w14:textId="77777777"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23, including whether the full content of the IFRS for SMEs section on revenue from contracts </w:t>
            </w:r>
            <w:r>
              <w:rPr>
                <w:rFonts w:ascii="Open Sans" w:hAnsi="Open Sans" w:cs="Open Sans"/>
                <w:sz w:val="20"/>
                <w:szCs w:val="20"/>
              </w:rPr>
              <w:lastRenderedPageBreak/>
              <w:t>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63D2C25F" w14:textId="77777777" w:rsidR="00B62A32" w:rsidRPr="00EB6705" w:rsidRDefault="00B62A32" w:rsidP="00B62A32">
            <w:pPr>
              <w:jc w:val="both"/>
              <w:rPr>
                <w:rFonts w:ascii="Open Sans" w:hAnsi="Open Sans" w:cs="Open Sans"/>
                <w:sz w:val="20"/>
                <w:szCs w:val="20"/>
                <w:lang w:val="en-US"/>
              </w:rPr>
            </w:pPr>
          </w:p>
        </w:tc>
        <w:tc>
          <w:tcPr>
            <w:tcW w:w="8282" w:type="dxa"/>
          </w:tcPr>
          <w:p w14:paraId="2777A615" w14:textId="5CA9DBA2" w:rsidR="00B62A32" w:rsidRPr="00EB6705" w:rsidRDefault="002A0D56" w:rsidP="00B62A32">
            <w:pPr>
              <w:rPr>
                <w:rFonts w:ascii="Open Sans" w:hAnsi="Open Sans" w:cs="Open Sans"/>
                <w:b/>
                <w:bCs/>
                <w:sz w:val="20"/>
                <w:szCs w:val="20"/>
                <w:lang w:val="en-US"/>
              </w:rPr>
            </w:pPr>
            <w:r w:rsidRPr="002A0D56">
              <w:rPr>
                <w:rFonts w:ascii="Open Sans" w:hAnsi="Open Sans" w:cs="Open Sans"/>
                <w:sz w:val="20"/>
                <w:szCs w:val="20"/>
                <w:lang w:val="en-US"/>
              </w:rPr>
              <w:t>agree</w:t>
            </w:r>
          </w:p>
        </w:tc>
      </w:tr>
    </w:tbl>
    <w:p w14:paraId="793149D4" w14:textId="77777777"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C9CA17B" w14:textId="77777777" w:rsidTr="001E3BF1">
        <w:tc>
          <w:tcPr>
            <w:tcW w:w="14312" w:type="dxa"/>
            <w:gridSpan w:val="3"/>
          </w:tcPr>
          <w:p w14:paraId="72EA3828"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1E795756" w14:textId="77777777" w:rsidR="008A1B93" w:rsidRDefault="008A1B93" w:rsidP="00515388">
            <w:pPr>
              <w:jc w:val="both"/>
              <w:rPr>
                <w:rFonts w:ascii="Open Sans" w:hAnsi="Open Sans" w:cs="Open Sans"/>
                <w:b/>
                <w:bCs/>
                <w:sz w:val="20"/>
                <w:szCs w:val="20"/>
                <w:lang w:val="en-US"/>
              </w:rPr>
            </w:pPr>
          </w:p>
          <w:p w14:paraId="30183B03" w14:textId="77777777"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3CDD84BF" w14:textId="77777777" w:rsidTr="00A276B0">
        <w:tc>
          <w:tcPr>
            <w:tcW w:w="4388" w:type="dxa"/>
          </w:tcPr>
          <w:p w14:paraId="0FEBB8CA" w14:textId="77777777" w:rsidR="0054631C" w:rsidRPr="0054631C" w:rsidRDefault="0054631C" w:rsidP="0054631C">
            <w:pPr>
              <w:jc w:val="both"/>
              <w:rPr>
                <w:rFonts w:ascii="Open Sans" w:hAnsi="Open Sans" w:cs="Open Sans"/>
                <w:b/>
                <w:bCs/>
                <w:sz w:val="20"/>
                <w:szCs w:val="20"/>
              </w:rPr>
            </w:pPr>
          </w:p>
        </w:tc>
        <w:tc>
          <w:tcPr>
            <w:tcW w:w="1642" w:type="dxa"/>
          </w:tcPr>
          <w:p w14:paraId="611CCD56" w14:textId="77777777"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8FE3FAC" w14:textId="77777777"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4AD2E68C" w14:textId="77777777" w:rsidTr="00A276B0">
        <w:tc>
          <w:tcPr>
            <w:tcW w:w="4388" w:type="dxa"/>
          </w:tcPr>
          <w:p w14:paraId="193A765F" w14:textId="77777777"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72DBCBF6" w14:textId="77777777"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752C9812"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29D5995B" w14:textId="77777777" w:rsidTr="00A276B0">
        <w:tc>
          <w:tcPr>
            <w:tcW w:w="4388" w:type="dxa"/>
          </w:tcPr>
          <w:p w14:paraId="17E35404"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071AD80D" w14:textId="7777777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2BDF1FD9"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078C352B" w14:textId="77777777" w:rsidTr="00A276B0">
        <w:tc>
          <w:tcPr>
            <w:tcW w:w="4388" w:type="dxa"/>
          </w:tcPr>
          <w:p w14:paraId="02690384"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11B88F0F" w14:textId="77777777"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054FD74"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6C818485" w14:textId="77777777" w:rsidTr="00A276B0">
        <w:tc>
          <w:tcPr>
            <w:tcW w:w="4388" w:type="dxa"/>
          </w:tcPr>
          <w:p w14:paraId="28E066FF"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43DC1D34" w14:textId="77777777"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6E592230"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745CC96C" w14:textId="77777777" w:rsidTr="00A276B0">
        <w:tc>
          <w:tcPr>
            <w:tcW w:w="4388" w:type="dxa"/>
          </w:tcPr>
          <w:p w14:paraId="3FC5D089"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22DDF91A" w14:textId="77777777"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38AA3269"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51F56FED" w14:textId="77777777" w:rsidTr="00A276B0">
        <w:tc>
          <w:tcPr>
            <w:tcW w:w="4388" w:type="dxa"/>
          </w:tcPr>
          <w:p w14:paraId="26A827ED"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C1073F6" w14:textId="77777777"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3E3D5512"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 xml:space="preserve">The transparency is reduced, however the exception is necessary in some cases. </w:t>
            </w:r>
          </w:p>
        </w:tc>
      </w:tr>
      <w:tr w:rsidR="00EE70DF" w:rsidRPr="00EB6705" w14:paraId="106856A1" w14:textId="77777777" w:rsidTr="00A276B0">
        <w:tc>
          <w:tcPr>
            <w:tcW w:w="4388" w:type="dxa"/>
          </w:tcPr>
          <w:p w14:paraId="4FD3AF83"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07011B52"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5081CD63" w14:textId="77777777" w:rsidR="00EE70DF" w:rsidRPr="00EB6705" w:rsidRDefault="00EE70DF" w:rsidP="00EE70DF">
            <w:pPr>
              <w:jc w:val="both"/>
              <w:rPr>
                <w:rFonts w:ascii="Open Sans" w:hAnsi="Open Sans" w:cs="Open Sans"/>
                <w:sz w:val="20"/>
                <w:szCs w:val="20"/>
                <w:lang w:val="en-US"/>
              </w:rPr>
            </w:pPr>
          </w:p>
        </w:tc>
        <w:tc>
          <w:tcPr>
            <w:tcW w:w="8282" w:type="dxa"/>
          </w:tcPr>
          <w:p w14:paraId="1EB13C70"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Agree</w:t>
            </w:r>
          </w:p>
        </w:tc>
      </w:tr>
      <w:tr w:rsidR="00EE70DF" w:rsidRPr="00EB6705" w14:paraId="016A5CE2" w14:textId="77777777" w:rsidTr="00A276B0">
        <w:tc>
          <w:tcPr>
            <w:tcW w:w="4388" w:type="dxa"/>
          </w:tcPr>
          <w:p w14:paraId="0DD00BF9" w14:textId="77777777"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xml:space="preserve">. If so, provide the rationale for any comments </w:t>
            </w:r>
            <w:r>
              <w:rPr>
                <w:rFonts w:ascii="Open Sans" w:hAnsi="Open Sans" w:cs="Open Sans"/>
                <w:sz w:val="20"/>
                <w:szCs w:val="20"/>
              </w:rPr>
              <w:lastRenderedPageBreak/>
              <w:t>and cross reference to the relevant paragraph.</w:t>
            </w:r>
          </w:p>
        </w:tc>
        <w:tc>
          <w:tcPr>
            <w:tcW w:w="1642" w:type="dxa"/>
          </w:tcPr>
          <w:p w14:paraId="01680CC1"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Section 24</w:t>
            </w:r>
          </w:p>
          <w:p w14:paraId="0FBDEB8F" w14:textId="77777777" w:rsidR="00EE70DF" w:rsidRDefault="00EE70DF" w:rsidP="00EE70DF">
            <w:pPr>
              <w:pStyle w:val="ListParagraph"/>
              <w:ind w:left="0"/>
              <w:rPr>
                <w:rFonts w:ascii="Open Sans" w:hAnsi="Open Sans" w:cs="Open Sans"/>
                <w:sz w:val="20"/>
                <w:szCs w:val="20"/>
              </w:rPr>
            </w:pPr>
          </w:p>
          <w:p w14:paraId="04027D35" w14:textId="77777777" w:rsidR="00EE70DF" w:rsidRDefault="00EE70DF" w:rsidP="00EE70DF">
            <w:pPr>
              <w:pStyle w:val="ListParagraph"/>
              <w:ind w:left="0"/>
              <w:rPr>
                <w:rFonts w:ascii="Open Sans" w:hAnsi="Open Sans" w:cs="Open Sans"/>
                <w:sz w:val="20"/>
                <w:szCs w:val="20"/>
              </w:rPr>
            </w:pPr>
          </w:p>
          <w:p w14:paraId="6E8A1854" w14:textId="77777777" w:rsidR="00EE70DF" w:rsidRDefault="00EE70DF" w:rsidP="00EE70DF">
            <w:pPr>
              <w:pStyle w:val="ListParagraph"/>
              <w:ind w:left="0"/>
              <w:rPr>
                <w:rFonts w:ascii="Open Sans" w:hAnsi="Open Sans" w:cs="Open Sans"/>
                <w:sz w:val="20"/>
                <w:szCs w:val="20"/>
              </w:rPr>
            </w:pPr>
          </w:p>
          <w:p w14:paraId="42D44E4E" w14:textId="77777777"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65CCEB43" w14:textId="77777777" w:rsidR="00EE70DF" w:rsidRPr="00EB6705" w:rsidRDefault="00773A5A" w:rsidP="00EE70DF">
            <w:pPr>
              <w:rPr>
                <w:rFonts w:ascii="Open Sans" w:hAnsi="Open Sans" w:cs="Open Sans"/>
                <w:b/>
                <w:bCs/>
                <w:sz w:val="20"/>
                <w:szCs w:val="20"/>
                <w:lang w:val="en-US"/>
              </w:rPr>
            </w:pPr>
            <w:r>
              <w:rPr>
                <w:rFonts w:ascii="Open Sans" w:hAnsi="Open Sans" w:cs="Open Sans"/>
                <w:b/>
                <w:bCs/>
                <w:sz w:val="20"/>
                <w:szCs w:val="20"/>
                <w:lang w:val="en-US"/>
              </w:rPr>
              <w:t>No comments.</w:t>
            </w:r>
          </w:p>
        </w:tc>
      </w:tr>
    </w:tbl>
    <w:p w14:paraId="687A0106" w14:textId="77777777"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766EDCC5" w14:textId="77777777" w:rsidTr="00A830C5">
        <w:tc>
          <w:tcPr>
            <w:tcW w:w="14312" w:type="dxa"/>
            <w:gridSpan w:val="3"/>
          </w:tcPr>
          <w:p w14:paraId="2B86227E"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E5FC83" w14:textId="77777777" w:rsidR="008A1B93" w:rsidRDefault="008A1B93" w:rsidP="00515388">
            <w:pPr>
              <w:jc w:val="both"/>
              <w:rPr>
                <w:rFonts w:ascii="Open Sans" w:hAnsi="Open Sans" w:cs="Open Sans"/>
                <w:b/>
                <w:bCs/>
                <w:sz w:val="20"/>
                <w:szCs w:val="20"/>
                <w:lang w:val="en-US"/>
              </w:rPr>
            </w:pPr>
          </w:p>
          <w:p w14:paraId="39150508" w14:textId="7777777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38AAABB" w14:textId="77777777" w:rsidTr="00D170DB">
        <w:tc>
          <w:tcPr>
            <w:tcW w:w="4368" w:type="dxa"/>
          </w:tcPr>
          <w:p w14:paraId="16185BBE" w14:textId="77777777" w:rsidR="00D170DB" w:rsidRPr="00D170DB" w:rsidRDefault="00D170DB" w:rsidP="00D170DB">
            <w:pPr>
              <w:jc w:val="both"/>
              <w:rPr>
                <w:rFonts w:ascii="Open Sans" w:hAnsi="Open Sans" w:cs="Open Sans"/>
                <w:b/>
                <w:bCs/>
                <w:sz w:val="20"/>
                <w:szCs w:val="20"/>
              </w:rPr>
            </w:pPr>
          </w:p>
        </w:tc>
        <w:tc>
          <w:tcPr>
            <w:tcW w:w="1711" w:type="dxa"/>
          </w:tcPr>
          <w:p w14:paraId="3F844A56" w14:textId="77777777"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51249591" w14:textId="77777777"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6BA45645" w14:textId="77777777" w:rsidTr="00D170DB">
        <w:tc>
          <w:tcPr>
            <w:tcW w:w="4368" w:type="dxa"/>
          </w:tcPr>
          <w:p w14:paraId="79C46D3F" w14:textId="77777777"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7F9FF541" w14:textId="77777777"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690CA0E" w14:textId="77777777" w:rsidR="007312A9" w:rsidRPr="00EB6705" w:rsidRDefault="00773A5A" w:rsidP="007312A9">
            <w:pPr>
              <w:rPr>
                <w:rFonts w:ascii="Open Sans" w:hAnsi="Open Sans" w:cs="Open Sans"/>
                <w:b/>
                <w:bCs/>
                <w:sz w:val="20"/>
                <w:szCs w:val="20"/>
                <w:lang w:val="en-US"/>
              </w:rPr>
            </w:pPr>
            <w:r>
              <w:rPr>
                <w:rFonts w:ascii="Open Sans" w:hAnsi="Open Sans" w:cs="Open Sans"/>
                <w:b/>
                <w:bCs/>
                <w:sz w:val="20"/>
                <w:szCs w:val="20"/>
                <w:lang w:val="en-US"/>
              </w:rPr>
              <w:t>Agree</w:t>
            </w:r>
          </w:p>
        </w:tc>
      </w:tr>
    </w:tbl>
    <w:p w14:paraId="1A8E9772" w14:textId="77777777"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30291479" w14:textId="77777777" w:rsidTr="00CC58EB">
        <w:tc>
          <w:tcPr>
            <w:tcW w:w="14312" w:type="dxa"/>
            <w:gridSpan w:val="3"/>
          </w:tcPr>
          <w:p w14:paraId="6B54A5FC"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2970AFE1" w14:textId="77777777" w:rsidR="008A1B93" w:rsidRDefault="008A1B93" w:rsidP="00515388">
            <w:pPr>
              <w:jc w:val="both"/>
              <w:rPr>
                <w:rFonts w:ascii="Open Sans" w:hAnsi="Open Sans" w:cs="Open Sans"/>
                <w:b/>
                <w:bCs/>
                <w:sz w:val="20"/>
                <w:szCs w:val="20"/>
                <w:lang w:val="en-US"/>
              </w:rPr>
            </w:pPr>
          </w:p>
          <w:p w14:paraId="631823FA" w14:textId="77777777"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02F86AC6" w14:textId="77777777" w:rsidTr="00A276B0">
        <w:tc>
          <w:tcPr>
            <w:tcW w:w="4388" w:type="dxa"/>
          </w:tcPr>
          <w:p w14:paraId="330339F4" w14:textId="77777777" w:rsidR="005A718A" w:rsidRPr="00EB6705" w:rsidRDefault="005A718A" w:rsidP="005A718A">
            <w:pPr>
              <w:jc w:val="both"/>
              <w:rPr>
                <w:rFonts w:ascii="Open Sans" w:hAnsi="Open Sans" w:cs="Open Sans"/>
                <w:b/>
                <w:bCs/>
                <w:sz w:val="20"/>
                <w:szCs w:val="20"/>
                <w:lang w:val="en-US"/>
              </w:rPr>
            </w:pPr>
          </w:p>
        </w:tc>
        <w:tc>
          <w:tcPr>
            <w:tcW w:w="1642" w:type="dxa"/>
          </w:tcPr>
          <w:p w14:paraId="1DD310DF" w14:textId="77777777"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453AFC93" w14:textId="77777777"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4090256F" w14:textId="77777777" w:rsidTr="00A276B0">
        <w:tc>
          <w:tcPr>
            <w:tcW w:w="4388" w:type="dxa"/>
          </w:tcPr>
          <w:p w14:paraId="0F24D977" w14:textId="77777777"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 xml:space="preserve">If not, provide </w:t>
            </w:r>
            <w:r w:rsidRPr="002C18D0">
              <w:rPr>
                <w:rFonts w:ascii="Open Sans" w:hAnsi="Open Sans" w:cs="Open Sans"/>
                <w:sz w:val="20"/>
                <w:szCs w:val="20"/>
              </w:rPr>
              <w:lastRenderedPageBreak/>
              <w:t>examples of share-based payments and explain how they are used.</w:t>
            </w:r>
          </w:p>
        </w:tc>
        <w:tc>
          <w:tcPr>
            <w:tcW w:w="1642" w:type="dxa"/>
          </w:tcPr>
          <w:p w14:paraId="13B7722B" w14:textId="77777777" w:rsidR="00563EEE" w:rsidRPr="00EB6705" w:rsidRDefault="00563EEE" w:rsidP="00563EEE">
            <w:pPr>
              <w:rPr>
                <w:rFonts w:ascii="Open Sans" w:hAnsi="Open Sans" w:cs="Open Sans"/>
                <w:sz w:val="20"/>
                <w:szCs w:val="20"/>
                <w:lang w:val="en-US"/>
              </w:rPr>
            </w:pPr>
            <w:r>
              <w:rPr>
                <w:rFonts w:ascii="Open Sans" w:hAnsi="Open Sans" w:cs="Open Sans"/>
                <w:sz w:val="20"/>
                <w:szCs w:val="20"/>
              </w:rPr>
              <w:lastRenderedPageBreak/>
              <w:t>Not applicable</w:t>
            </w:r>
          </w:p>
        </w:tc>
        <w:tc>
          <w:tcPr>
            <w:tcW w:w="8282" w:type="dxa"/>
          </w:tcPr>
          <w:p w14:paraId="7FA38E1F" w14:textId="77777777" w:rsidR="00563EEE" w:rsidRPr="00EB6705" w:rsidRDefault="00C662BC" w:rsidP="00563EEE">
            <w:pPr>
              <w:rPr>
                <w:rFonts w:ascii="Open Sans" w:hAnsi="Open Sans" w:cs="Open Sans"/>
                <w:b/>
                <w:bCs/>
                <w:sz w:val="20"/>
                <w:szCs w:val="20"/>
                <w:lang w:val="en-US"/>
              </w:rPr>
            </w:pPr>
            <w:r>
              <w:rPr>
                <w:rFonts w:ascii="Open Sans" w:hAnsi="Open Sans" w:cs="Open Sans"/>
                <w:b/>
                <w:bCs/>
                <w:sz w:val="20"/>
                <w:szCs w:val="20"/>
                <w:lang w:val="en-US"/>
              </w:rPr>
              <w:t>Agree, paragraph is not required</w:t>
            </w:r>
          </w:p>
        </w:tc>
      </w:tr>
    </w:tbl>
    <w:p w14:paraId="74F8FBFF" w14:textId="77777777"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11A0670E" w14:textId="77777777" w:rsidTr="00883234">
        <w:tc>
          <w:tcPr>
            <w:tcW w:w="14312" w:type="dxa"/>
            <w:gridSpan w:val="3"/>
          </w:tcPr>
          <w:p w14:paraId="0EE85C54"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032AAB35" w14:textId="77777777" w:rsidR="008A1B93" w:rsidRDefault="008A1B93" w:rsidP="00515388">
            <w:pPr>
              <w:jc w:val="both"/>
              <w:rPr>
                <w:rFonts w:ascii="Open Sans" w:hAnsi="Open Sans" w:cs="Open Sans"/>
                <w:b/>
                <w:bCs/>
                <w:sz w:val="20"/>
                <w:szCs w:val="20"/>
                <w:lang w:val="en-US"/>
              </w:rPr>
            </w:pPr>
          </w:p>
          <w:p w14:paraId="16F6B592" w14:textId="77777777"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5CAB460E" w14:textId="77777777" w:rsidTr="00A276B0">
        <w:tc>
          <w:tcPr>
            <w:tcW w:w="4388" w:type="dxa"/>
          </w:tcPr>
          <w:p w14:paraId="519E335D" w14:textId="77777777" w:rsidR="000C07D4" w:rsidRPr="00EB6705" w:rsidRDefault="000C07D4" w:rsidP="000C07D4">
            <w:pPr>
              <w:jc w:val="both"/>
              <w:rPr>
                <w:rFonts w:ascii="Open Sans" w:hAnsi="Open Sans" w:cs="Open Sans"/>
                <w:b/>
                <w:bCs/>
                <w:sz w:val="20"/>
                <w:szCs w:val="20"/>
                <w:lang w:val="en-US"/>
              </w:rPr>
            </w:pPr>
          </w:p>
        </w:tc>
        <w:tc>
          <w:tcPr>
            <w:tcW w:w="1642" w:type="dxa"/>
          </w:tcPr>
          <w:p w14:paraId="3D25683A" w14:textId="77777777"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5F1C530F" w14:textId="77777777"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4BA25886" w14:textId="77777777" w:rsidTr="00A276B0">
        <w:tc>
          <w:tcPr>
            <w:tcW w:w="4388" w:type="dxa"/>
          </w:tcPr>
          <w:p w14:paraId="31AB7E99" w14:textId="77777777"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1B24828F" w14:textId="77777777"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2B16CA8" w14:textId="77777777" w:rsidR="00240FA8" w:rsidRPr="00EB6705" w:rsidRDefault="00C662BC" w:rsidP="00240FA8">
            <w:pPr>
              <w:rPr>
                <w:rFonts w:ascii="Open Sans" w:hAnsi="Open Sans" w:cs="Open Sans"/>
                <w:b/>
                <w:bCs/>
                <w:sz w:val="20"/>
                <w:szCs w:val="20"/>
                <w:lang w:val="en-US"/>
              </w:rPr>
            </w:pPr>
            <w:r>
              <w:rPr>
                <w:rFonts w:ascii="Open Sans" w:hAnsi="Open Sans" w:cs="Open Sans"/>
                <w:b/>
                <w:bCs/>
                <w:sz w:val="20"/>
                <w:szCs w:val="20"/>
                <w:lang w:val="en-US"/>
              </w:rPr>
              <w:t>Agree</w:t>
            </w:r>
          </w:p>
        </w:tc>
      </w:tr>
      <w:tr w:rsidR="00240FA8" w:rsidRPr="00EB6705" w14:paraId="57A7C165" w14:textId="77777777" w:rsidTr="00A276B0">
        <w:tc>
          <w:tcPr>
            <w:tcW w:w="4388" w:type="dxa"/>
          </w:tcPr>
          <w:p w14:paraId="2E2AF14F" w14:textId="77777777"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40783B5E" w14:textId="77777777"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5F8A4C8E" w14:textId="77777777" w:rsidR="00240FA8" w:rsidRPr="00EB6705" w:rsidRDefault="00C662BC" w:rsidP="00240FA8">
            <w:pPr>
              <w:rPr>
                <w:rFonts w:ascii="Open Sans" w:hAnsi="Open Sans" w:cs="Open Sans"/>
                <w:b/>
                <w:bCs/>
                <w:sz w:val="20"/>
                <w:szCs w:val="20"/>
                <w:lang w:val="en-US"/>
              </w:rPr>
            </w:pPr>
            <w:r>
              <w:rPr>
                <w:rFonts w:ascii="Open Sans" w:hAnsi="Open Sans" w:cs="Open Sans"/>
                <w:b/>
                <w:bCs/>
                <w:sz w:val="20"/>
                <w:szCs w:val="20"/>
                <w:lang w:val="en-US"/>
              </w:rPr>
              <w:t xml:space="preserve">Currently not relevant to our country (Georgia). However single accounting policy will be beneficial and simple (probably to </w:t>
            </w:r>
            <w:r w:rsidRPr="00C662BC">
              <w:rPr>
                <w:rFonts w:ascii="Open Sans" w:hAnsi="Open Sans" w:cs="Open Sans"/>
                <w:b/>
                <w:bCs/>
                <w:sz w:val="20"/>
                <w:szCs w:val="20"/>
                <w:lang w:val="en-US"/>
              </w:rPr>
              <w:t>recognize all actuarial gains and losses in surplus or deficit</w:t>
            </w:r>
            <w:r>
              <w:rPr>
                <w:rFonts w:ascii="Open Sans" w:hAnsi="Open Sans" w:cs="Open Sans"/>
                <w:b/>
                <w:bCs/>
                <w:sz w:val="20"/>
                <w:szCs w:val="20"/>
                <w:lang w:val="en-US"/>
              </w:rPr>
              <w:t>)</w:t>
            </w:r>
          </w:p>
        </w:tc>
      </w:tr>
    </w:tbl>
    <w:p w14:paraId="59B3296A" w14:textId="77777777"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1D0438F5" w14:textId="77777777" w:rsidTr="002558BE">
        <w:tc>
          <w:tcPr>
            <w:tcW w:w="14312" w:type="dxa"/>
            <w:gridSpan w:val="3"/>
          </w:tcPr>
          <w:p w14:paraId="4948ACA9"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0414B17B" w14:textId="77777777" w:rsidR="008A1B93" w:rsidRDefault="008A1B93" w:rsidP="00515388">
            <w:pPr>
              <w:jc w:val="both"/>
              <w:rPr>
                <w:rFonts w:ascii="Open Sans" w:hAnsi="Open Sans" w:cs="Open Sans"/>
                <w:b/>
                <w:bCs/>
                <w:sz w:val="20"/>
                <w:szCs w:val="20"/>
                <w:lang w:val="en-US"/>
              </w:rPr>
            </w:pPr>
          </w:p>
          <w:p w14:paraId="28E9663F" w14:textId="77777777"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7A6EE018" w14:textId="77777777" w:rsidTr="00A276B0">
        <w:tc>
          <w:tcPr>
            <w:tcW w:w="4388" w:type="dxa"/>
          </w:tcPr>
          <w:p w14:paraId="4609E014" w14:textId="77777777" w:rsidR="00C8003A" w:rsidRPr="00EB6705" w:rsidRDefault="00C8003A" w:rsidP="00C8003A">
            <w:pPr>
              <w:jc w:val="both"/>
              <w:rPr>
                <w:rFonts w:ascii="Open Sans" w:hAnsi="Open Sans" w:cs="Open Sans"/>
                <w:b/>
                <w:bCs/>
                <w:sz w:val="20"/>
                <w:szCs w:val="20"/>
                <w:lang w:val="en-US"/>
              </w:rPr>
            </w:pPr>
          </w:p>
        </w:tc>
        <w:tc>
          <w:tcPr>
            <w:tcW w:w="1642" w:type="dxa"/>
          </w:tcPr>
          <w:p w14:paraId="03E62747" w14:textId="77777777"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F7D7143" w14:textId="77777777"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39FDBB0E" w14:textId="77777777" w:rsidTr="00A276B0">
        <w:tc>
          <w:tcPr>
            <w:tcW w:w="4388" w:type="dxa"/>
          </w:tcPr>
          <w:p w14:paraId="0A97E0DF" w14:textId="77777777"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7F9A9111" w14:textId="77777777"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67BC3302" w14:textId="77777777" w:rsidR="0083399D" w:rsidRPr="003558F9" w:rsidRDefault="003558F9" w:rsidP="00BC2761">
            <w:pPr>
              <w:jc w:val="both"/>
              <w:rPr>
                <w:rFonts w:cs="Open Sans"/>
                <w:b/>
                <w:bCs/>
                <w:sz w:val="20"/>
                <w:szCs w:val="20"/>
                <w:lang w:val="ka-GE"/>
              </w:rPr>
            </w:pPr>
            <w:r>
              <w:rPr>
                <w:rFonts w:ascii="Open Sans" w:hAnsi="Open Sans" w:cs="Open Sans"/>
                <w:b/>
                <w:bCs/>
                <w:sz w:val="20"/>
                <w:szCs w:val="20"/>
                <w:lang w:val="en-US"/>
              </w:rPr>
              <w:t xml:space="preserve">Whole section is not relevant to Georgian NPOs. Under the Tax Code of Georgia, profit is taxed only and when if it is distributed to owners of the legal entity. Under the law of Georgia NPOs are not allowed to distribute </w:t>
            </w:r>
            <w:r w:rsidRPr="003558F9">
              <w:rPr>
                <w:rFonts w:ascii="Open Sans" w:hAnsi="Open Sans" w:cs="Open Sans"/>
                <w:b/>
                <w:bCs/>
                <w:sz w:val="20"/>
                <w:szCs w:val="20"/>
                <w:lang w:val="en-US"/>
              </w:rPr>
              <w:t xml:space="preserve">profits among the founders, members, donors, as well as persons with management and representative powers of a </w:t>
            </w:r>
            <w:r w:rsidR="00BC2761">
              <w:rPr>
                <w:rFonts w:cs="Open Sans"/>
                <w:b/>
                <w:bCs/>
                <w:sz w:val="20"/>
                <w:szCs w:val="20"/>
                <w:lang w:val="en-US"/>
              </w:rPr>
              <w:t>NPOs</w:t>
            </w:r>
            <w:r w:rsidR="00BC2761">
              <w:rPr>
                <w:rFonts w:ascii="Open Sans" w:hAnsi="Open Sans" w:cs="Open Sans"/>
                <w:b/>
                <w:bCs/>
                <w:sz w:val="20"/>
                <w:szCs w:val="20"/>
                <w:lang w:val="en-US"/>
              </w:rPr>
              <w:t xml:space="preserve">, even when such profit is made within </w:t>
            </w:r>
            <w:r w:rsidR="00BC2761" w:rsidRPr="00BC2761">
              <w:rPr>
                <w:rFonts w:ascii="Open Sans" w:hAnsi="Open Sans" w:cs="Open Sans"/>
                <w:b/>
                <w:bCs/>
                <w:sz w:val="20"/>
                <w:szCs w:val="20"/>
                <w:lang w:val="en-US"/>
              </w:rPr>
              <w:t>supporting entrepreneurial activity</w:t>
            </w:r>
            <w:r w:rsidR="00BC2761">
              <w:rPr>
                <w:rFonts w:ascii="Open Sans" w:hAnsi="Open Sans" w:cs="Open Sans"/>
                <w:b/>
                <w:bCs/>
                <w:sz w:val="20"/>
                <w:szCs w:val="20"/>
                <w:lang w:val="en-US"/>
              </w:rPr>
              <w:t>. Therefore NPOs do not have taxable profit/surplus and are not subject to income tax.</w:t>
            </w:r>
          </w:p>
        </w:tc>
      </w:tr>
    </w:tbl>
    <w:p w14:paraId="55FDCE11" w14:textId="77777777"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4142B0" w14:paraId="78C1D839" w14:textId="77777777" w:rsidTr="00333042">
        <w:tc>
          <w:tcPr>
            <w:tcW w:w="14312" w:type="dxa"/>
            <w:gridSpan w:val="3"/>
          </w:tcPr>
          <w:p w14:paraId="04D7550B" w14:textId="77777777" w:rsidR="008A1B93" w:rsidRPr="004142B0" w:rsidRDefault="008A1B93" w:rsidP="00515388">
            <w:pPr>
              <w:jc w:val="both"/>
              <w:rPr>
                <w:rFonts w:ascii="Open Sans" w:hAnsi="Open Sans" w:cs="Open Sans"/>
                <w:b/>
                <w:bCs/>
                <w:sz w:val="20"/>
                <w:szCs w:val="20"/>
                <w:lang w:val="en-US"/>
              </w:rPr>
            </w:pPr>
            <w:r w:rsidRPr="004142B0">
              <w:rPr>
                <w:rFonts w:ascii="Open Sans" w:hAnsi="Open Sans" w:cs="Open Sans"/>
                <w:b/>
                <w:bCs/>
                <w:sz w:val="20"/>
                <w:szCs w:val="20"/>
                <w:lang w:val="en-US"/>
              </w:rPr>
              <w:t>Question 10: Foreign currency translation</w:t>
            </w:r>
          </w:p>
          <w:p w14:paraId="53E64BEE" w14:textId="77777777" w:rsidR="008A1B93" w:rsidRPr="004142B0" w:rsidRDefault="008A1B93" w:rsidP="00515388">
            <w:pPr>
              <w:jc w:val="both"/>
              <w:rPr>
                <w:rFonts w:ascii="Open Sans" w:hAnsi="Open Sans" w:cs="Open Sans"/>
                <w:b/>
                <w:bCs/>
                <w:sz w:val="20"/>
                <w:szCs w:val="20"/>
                <w:lang w:val="en-US"/>
              </w:rPr>
            </w:pPr>
          </w:p>
          <w:p w14:paraId="44FBC77F" w14:textId="77777777" w:rsidR="008A1B93" w:rsidRPr="004142B0" w:rsidRDefault="008A1B93" w:rsidP="008A1B93">
            <w:pPr>
              <w:rPr>
                <w:rFonts w:ascii="Open Sans" w:hAnsi="Open Sans" w:cs="Open Sans"/>
                <w:sz w:val="20"/>
                <w:szCs w:val="20"/>
              </w:rPr>
            </w:pPr>
            <w:r w:rsidRPr="004142B0">
              <w:rPr>
                <w:rFonts w:ascii="Open Sans" w:hAnsi="Open Sans" w:cs="Open Sans"/>
                <w:b/>
                <w:bCs/>
                <w:sz w:val="20"/>
                <w:szCs w:val="20"/>
              </w:rPr>
              <w:t>INPAG Section 30</w:t>
            </w:r>
            <w:r w:rsidRPr="004142B0">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0A212B68" w14:textId="77777777" w:rsidR="008A1B93" w:rsidRPr="004142B0" w:rsidRDefault="008A1B93" w:rsidP="008A1B93">
            <w:pPr>
              <w:rPr>
                <w:rFonts w:ascii="Open Sans" w:hAnsi="Open Sans" w:cs="Open Sans"/>
                <w:sz w:val="20"/>
                <w:szCs w:val="20"/>
              </w:rPr>
            </w:pPr>
          </w:p>
          <w:p w14:paraId="358AE735" w14:textId="77777777" w:rsidR="008A1B93" w:rsidRPr="004142B0" w:rsidRDefault="008A1B93" w:rsidP="008A1B93">
            <w:pPr>
              <w:jc w:val="both"/>
              <w:rPr>
                <w:rFonts w:ascii="Open Sans" w:hAnsi="Open Sans" w:cs="Open Sans"/>
                <w:b/>
                <w:bCs/>
                <w:sz w:val="20"/>
                <w:szCs w:val="20"/>
                <w:lang w:val="en-US"/>
              </w:rPr>
            </w:pPr>
            <w:r w:rsidRPr="004142B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4142B0">
              <w:rPr>
                <w:rFonts w:ascii="Open Sans" w:hAnsi="Open Sans" w:cs="Open Sans"/>
                <w:b/>
                <w:bCs/>
                <w:sz w:val="20"/>
                <w:szCs w:val="20"/>
                <w:lang w:val="en-US"/>
              </w:rPr>
              <w:t xml:space="preserve"> </w:t>
            </w:r>
          </w:p>
          <w:p w14:paraId="2CD4BF76" w14:textId="77777777" w:rsidR="008A1B93" w:rsidRPr="004142B0" w:rsidRDefault="008A1B93" w:rsidP="00B96DA6">
            <w:pPr>
              <w:rPr>
                <w:rFonts w:ascii="Open Sans" w:hAnsi="Open Sans" w:cs="Open Sans"/>
                <w:sz w:val="20"/>
                <w:szCs w:val="20"/>
              </w:rPr>
            </w:pPr>
            <w:r w:rsidRPr="004142B0">
              <w:rPr>
                <w:rFonts w:ascii="Open Sans" w:hAnsi="Open Sans" w:cs="Open Sans"/>
                <w:sz w:val="20"/>
                <w:szCs w:val="20"/>
              </w:rPr>
              <w:t xml:space="preserve"> </w:t>
            </w:r>
          </w:p>
        </w:tc>
      </w:tr>
      <w:tr w:rsidR="008A350D" w:rsidRPr="004142B0" w14:paraId="26CDA850" w14:textId="77777777" w:rsidTr="00A276B0">
        <w:tc>
          <w:tcPr>
            <w:tcW w:w="4388" w:type="dxa"/>
          </w:tcPr>
          <w:p w14:paraId="3F90F20D" w14:textId="77777777" w:rsidR="008A350D" w:rsidRPr="004142B0" w:rsidRDefault="008A350D" w:rsidP="008A350D">
            <w:pPr>
              <w:jc w:val="both"/>
              <w:rPr>
                <w:rFonts w:ascii="Open Sans" w:hAnsi="Open Sans" w:cs="Open Sans"/>
                <w:b/>
                <w:bCs/>
                <w:sz w:val="20"/>
                <w:szCs w:val="20"/>
                <w:lang w:val="en-US"/>
              </w:rPr>
            </w:pPr>
          </w:p>
        </w:tc>
        <w:tc>
          <w:tcPr>
            <w:tcW w:w="1642" w:type="dxa"/>
          </w:tcPr>
          <w:p w14:paraId="36A2B391" w14:textId="77777777" w:rsidR="008A350D" w:rsidRPr="004142B0" w:rsidRDefault="008A350D" w:rsidP="008A350D">
            <w:pPr>
              <w:jc w:val="both"/>
              <w:rPr>
                <w:rFonts w:ascii="Open Sans" w:hAnsi="Open Sans" w:cs="Open Sans"/>
                <w:sz w:val="20"/>
                <w:szCs w:val="20"/>
                <w:lang w:val="en-US"/>
              </w:rPr>
            </w:pPr>
            <w:r w:rsidRPr="004142B0">
              <w:rPr>
                <w:rFonts w:ascii="Open Sans" w:hAnsi="Open Sans" w:cs="Open Sans"/>
                <w:sz w:val="20"/>
                <w:szCs w:val="20"/>
                <w:lang w:val="en-US"/>
              </w:rPr>
              <w:t>References</w:t>
            </w:r>
          </w:p>
        </w:tc>
        <w:tc>
          <w:tcPr>
            <w:tcW w:w="8282" w:type="dxa"/>
          </w:tcPr>
          <w:p w14:paraId="1ACF8929" w14:textId="77777777" w:rsidR="008A350D" w:rsidRPr="004142B0" w:rsidRDefault="008A350D" w:rsidP="008A350D">
            <w:pPr>
              <w:jc w:val="both"/>
              <w:rPr>
                <w:rFonts w:ascii="Open Sans" w:hAnsi="Open Sans" w:cs="Open Sans"/>
                <w:b/>
                <w:bCs/>
                <w:sz w:val="20"/>
                <w:szCs w:val="20"/>
                <w:lang w:val="nl-NL"/>
              </w:rPr>
            </w:pPr>
            <w:r w:rsidRPr="004142B0">
              <w:rPr>
                <w:rFonts w:ascii="Open Sans" w:hAnsi="Open Sans" w:cs="Open Sans"/>
                <w:b/>
                <w:bCs/>
                <w:sz w:val="20"/>
                <w:szCs w:val="20"/>
                <w:lang w:val="nl-NL"/>
              </w:rPr>
              <w:t>Response</w:t>
            </w:r>
          </w:p>
        </w:tc>
      </w:tr>
      <w:tr w:rsidR="001A2764" w:rsidRPr="004142B0" w14:paraId="139DD622" w14:textId="77777777" w:rsidTr="00A276B0">
        <w:tc>
          <w:tcPr>
            <w:tcW w:w="4388" w:type="dxa"/>
          </w:tcPr>
          <w:p w14:paraId="3ABEC44D" w14:textId="77777777" w:rsidR="001A2764" w:rsidRPr="004142B0" w:rsidRDefault="001A2764" w:rsidP="001A2764">
            <w:pPr>
              <w:numPr>
                <w:ilvl w:val="0"/>
                <w:numId w:val="8"/>
              </w:numPr>
              <w:ind w:left="318"/>
              <w:contextualSpacing/>
              <w:jc w:val="both"/>
              <w:rPr>
                <w:rFonts w:ascii="Open Sans" w:hAnsi="Open Sans" w:cs="Open Sans"/>
                <w:sz w:val="20"/>
                <w:szCs w:val="20"/>
                <w:lang w:val="en-US"/>
              </w:rPr>
            </w:pPr>
            <w:r w:rsidRPr="004142B0">
              <w:rPr>
                <w:rFonts w:ascii="Open Sans" w:hAnsi="Open Sans" w:cs="Open Sans"/>
                <w:sz w:val="20"/>
                <w:szCs w:val="20"/>
              </w:rPr>
              <w:lastRenderedPageBreak/>
              <w:t>Do you agree that grants and donations should be considered when setting the functional currency? If not, why not?</w:t>
            </w:r>
          </w:p>
        </w:tc>
        <w:tc>
          <w:tcPr>
            <w:tcW w:w="1642" w:type="dxa"/>
          </w:tcPr>
          <w:p w14:paraId="437DA380" w14:textId="77777777" w:rsidR="001A2764" w:rsidRPr="004142B0" w:rsidRDefault="001A2764" w:rsidP="001A2764">
            <w:pPr>
              <w:jc w:val="both"/>
              <w:rPr>
                <w:rFonts w:ascii="Open Sans" w:hAnsi="Open Sans" w:cs="Open Sans"/>
                <w:sz w:val="20"/>
                <w:szCs w:val="20"/>
                <w:lang w:val="en-US"/>
              </w:rPr>
            </w:pPr>
            <w:r w:rsidRPr="004142B0">
              <w:rPr>
                <w:rFonts w:ascii="Open Sans" w:hAnsi="Open Sans" w:cs="Open Sans"/>
                <w:sz w:val="20"/>
                <w:szCs w:val="20"/>
              </w:rPr>
              <w:t>G30.3 (c), G30.5 (b), G30.5 (d)</w:t>
            </w:r>
          </w:p>
        </w:tc>
        <w:tc>
          <w:tcPr>
            <w:tcW w:w="8282" w:type="dxa"/>
          </w:tcPr>
          <w:p w14:paraId="45F6440F" w14:textId="77777777" w:rsidR="001A2764" w:rsidRPr="004142B0" w:rsidRDefault="00A519D1" w:rsidP="001A2764">
            <w:pPr>
              <w:jc w:val="both"/>
              <w:rPr>
                <w:rFonts w:ascii="Open Sans" w:hAnsi="Open Sans" w:cs="Open Sans"/>
                <w:b/>
                <w:bCs/>
                <w:sz w:val="20"/>
                <w:szCs w:val="20"/>
                <w:lang w:val="nl-NL"/>
              </w:rPr>
            </w:pPr>
            <w:r w:rsidRPr="004142B0">
              <w:rPr>
                <w:rFonts w:ascii="Open Sans" w:hAnsi="Open Sans" w:cs="Open Sans"/>
                <w:b/>
                <w:bCs/>
                <w:sz w:val="20"/>
                <w:szCs w:val="20"/>
                <w:lang w:val="nl-NL"/>
              </w:rPr>
              <w:t>Agree</w:t>
            </w:r>
          </w:p>
        </w:tc>
      </w:tr>
      <w:tr w:rsidR="001A2764" w:rsidRPr="004142B0" w14:paraId="6E24F3A7" w14:textId="77777777" w:rsidTr="00A276B0">
        <w:tc>
          <w:tcPr>
            <w:tcW w:w="4388" w:type="dxa"/>
          </w:tcPr>
          <w:p w14:paraId="292C924C" w14:textId="77777777" w:rsidR="001A2764" w:rsidRPr="004142B0" w:rsidRDefault="001A2764" w:rsidP="001A2764">
            <w:pPr>
              <w:numPr>
                <w:ilvl w:val="0"/>
                <w:numId w:val="8"/>
              </w:numPr>
              <w:ind w:left="318"/>
              <w:contextualSpacing/>
              <w:jc w:val="both"/>
              <w:rPr>
                <w:rFonts w:ascii="Open Sans" w:hAnsi="Open Sans" w:cs="Open Sans"/>
                <w:sz w:val="20"/>
                <w:szCs w:val="20"/>
                <w:lang w:val="en-US"/>
              </w:rPr>
            </w:pPr>
            <w:r w:rsidRPr="004142B0">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2DF52D13" w14:textId="77777777" w:rsidR="001A2764" w:rsidRPr="004142B0" w:rsidRDefault="001A2764" w:rsidP="001A2764">
            <w:pPr>
              <w:jc w:val="both"/>
              <w:rPr>
                <w:rFonts w:ascii="Open Sans" w:hAnsi="Open Sans" w:cs="Open Sans"/>
                <w:sz w:val="20"/>
                <w:szCs w:val="20"/>
                <w:lang w:val="en-US"/>
              </w:rPr>
            </w:pPr>
            <w:r w:rsidRPr="004142B0">
              <w:rPr>
                <w:rFonts w:ascii="Open Sans" w:hAnsi="Open Sans" w:cs="Open Sans"/>
                <w:sz w:val="20"/>
                <w:szCs w:val="20"/>
              </w:rPr>
              <w:t>G30.12, G30.20 (c)</w:t>
            </w:r>
          </w:p>
        </w:tc>
        <w:tc>
          <w:tcPr>
            <w:tcW w:w="8282" w:type="dxa"/>
          </w:tcPr>
          <w:p w14:paraId="31CF05F9" w14:textId="77777777" w:rsidR="001A2764" w:rsidRPr="004142B0" w:rsidRDefault="001A5129" w:rsidP="001A2764">
            <w:pPr>
              <w:jc w:val="both"/>
              <w:rPr>
                <w:rFonts w:ascii="Open Sans" w:hAnsi="Open Sans" w:cs="Open Sans"/>
                <w:b/>
                <w:bCs/>
                <w:sz w:val="20"/>
                <w:szCs w:val="20"/>
                <w:lang w:val="nl-NL"/>
              </w:rPr>
            </w:pPr>
            <w:r w:rsidRPr="004142B0">
              <w:rPr>
                <w:rFonts w:ascii="Open Sans" w:hAnsi="Open Sans" w:cs="Open Sans"/>
                <w:b/>
                <w:bCs/>
                <w:sz w:val="20"/>
                <w:szCs w:val="20"/>
                <w:lang w:val="nl-NL"/>
              </w:rPr>
              <w:t>Agree</w:t>
            </w:r>
          </w:p>
        </w:tc>
      </w:tr>
      <w:tr w:rsidR="001A2764" w:rsidRPr="004142B0" w14:paraId="790B3C1B" w14:textId="77777777" w:rsidTr="00A276B0">
        <w:tc>
          <w:tcPr>
            <w:tcW w:w="4388" w:type="dxa"/>
          </w:tcPr>
          <w:p w14:paraId="1AA4317A" w14:textId="77777777" w:rsidR="001A2764" w:rsidRPr="004142B0" w:rsidRDefault="001A2764" w:rsidP="001A2764">
            <w:pPr>
              <w:numPr>
                <w:ilvl w:val="0"/>
                <w:numId w:val="8"/>
              </w:numPr>
              <w:ind w:left="318"/>
              <w:contextualSpacing/>
              <w:jc w:val="both"/>
              <w:rPr>
                <w:rFonts w:ascii="Open Sans" w:hAnsi="Open Sans" w:cs="Open Sans"/>
                <w:sz w:val="20"/>
                <w:szCs w:val="20"/>
                <w:lang w:val="en-US"/>
              </w:rPr>
            </w:pPr>
            <w:r w:rsidRPr="004142B0">
              <w:rPr>
                <w:rFonts w:ascii="Open Sans" w:hAnsi="Open Sans" w:cs="Open Sans"/>
                <w:sz w:val="20"/>
                <w:szCs w:val="20"/>
              </w:rPr>
              <w:t>Do you agree with the proposal to require exchange gains and losses that contribute to a surplus or deficit on grant arrangements presented as funds with restrictions to be disclosed? If not, why not? What would you propose instead?</w:t>
            </w:r>
          </w:p>
        </w:tc>
        <w:tc>
          <w:tcPr>
            <w:tcW w:w="1642" w:type="dxa"/>
          </w:tcPr>
          <w:p w14:paraId="280AC6B3" w14:textId="77777777" w:rsidR="001A2764" w:rsidRPr="004142B0" w:rsidRDefault="001A2764" w:rsidP="001A2764">
            <w:pPr>
              <w:jc w:val="both"/>
              <w:rPr>
                <w:rFonts w:ascii="Open Sans" w:hAnsi="Open Sans" w:cs="Open Sans"/>
                <w:sz w:val="20"/>
                <w:szCs w:val="20"/>
                <w:lang w:val="en-US"/>
              </w:rPr>
            </w:pPr>
            <w:r w:rsidRPr="004142B0">
              <w:rPr>
                <w:rFonts w:ascii="Open Sans" w:hAnsi="Open Sans" w:cs="Open Sans"/>
                <w:sz w:val="20"/>
                <w:szCs w:val="20"/>
              </w:rPr>
              <w:t>G30.30</w:t>
            </w:r>
          </w:p>
        </w:tc>
        <w:tc>
          <w:tcPr>
            <w:tcW w:w="8282" w:type="dxa"/>
          </w:tcPr>
          <w:p w14:paraId="40758F67" w14:textId="77777777" w:rsidR="001A2764" w:rsidRPr="004142B0" w:rsidRDefault="00A260C4" w:rsidP="001A2764">
            <w:pPr>
              <w:jc w:val="both"/>
              <w:rPr>
                <w:rFonts w:ascii="Open Sans" w:hAnsi="Open Sans" w:cs="Open Sans"/>
                <w:b/>
                <w:bCs/>
                <w:sz w:val="20"/>
                <w:szCs w:val="20"/>
                <w:lang w:val="nl-NL"/>
              </w:rPr>
            </w:pPr>
            <w:r w:rsidRPr="004142B0">
              <w:rPr>
                <w:rFonts w:ascii="Open Sans" w:hAnsi="Open Sans" w:cs="Open Sans"/>
                <w:b/>
                <w:bCs/>
                <w:sz w:val="20"/>
                <w:szCs w:val="20"/>
                <w:lang w:val="nl-NL"/>
              </w:rPr>
              <w:t>Agree</w:t>
            </w:r>
          </w:p>
        </w:tc>
      </w:tr>
      <w:tr w:rsidR="001A2764" w:rsidRPr="00EB6705" w14:paraId="0F020A63" w14:textId="77777777" w:rsidTr="00A276B0">
        <w:tc>
          <w:tcPr>
            <w:tcW w:w="4388" w:type="dxa"/>
          </w:tcPr>
          <w:p w14:paraId="3F0DC1E8" w14:textId="77777777" w:rsidR="001A2764" w:rsidRPr="004142B0" w:rsidRDefault="001A2764" w:rsidP="001A2764">
            <w:pPr>
              <w:numPr>
                <w:ilvl w:val="0"/>
                <w:numId w:val="8"/>
              </w:numPr>
              <w:ind w:left="318"/>
              <w:contextualSpacing/>
              <w:jc w:val="both"/>
              <w:rPr>
                <w:rFonts w:ascii="Open Sans" w:hAnsi="Open Sans" w:cs="Open Sans"/>
                <w:sz w:val="20"/>
                <w:szCs w:val="20"/>
                <w:lang w:val="en-US"/>
              </w:rPr>
            </w:pPr>
            <w:r w:rsidRPr="004142B0">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DD4C2EB" w14:textId="77777777" w:rsidR="001A2764" w:rsidRPr="004142B0" w:rsidRDefault="001A2764" w:rsidP="001A2764">
            <w:pPr>
              <w:jc w:val="both"/>
              <w:rPr>
                <w:rFonts w:ascii="Open Sans" w:hAnsi="Open Sans" w:cs="Open Sans"/>
                <w:b/>
                <w:bCs/>
                <w:sz w:val="20"/>
                <w:szCs w:val="20"/>
                <w:lang w:val="nl-NL"/>
              </w:rPr>
            </w:pPr>
            <w:r w:rsidRPr="004142B0">
              <w:rPr>
                <w:rFonts w:ascii="Open Sans" w:hAnsi="Open Sans" w:cs="Open Sans"/>
                <w:sz w:val="20"/>
                <w:szCs w:val="20"/>
              </w:rPr>
              <w:t>Section 30</w:t>
            </w:r>
          </w:p>
        </w:tc>
        <w:tc>
          <w:tcPr>
            <w:tcW w:w="8282" w:type="dxa"/>
          </w:tcPr>
          <w:p w14:paraId="3646587C" w14:textId="77777777" w:rsidR="001A2764" w:rsidRPr="004142B0" w:rsidRDefault="00A142E0" w:rsidP="005A5984">
            <w:pPr>
              <w:jc w:val="both"/>
              <w:rPr>
                <w:rFonts w:cs="Open Sans"/>
                <w:b/>
                <w:bCs/>
                <w:sz w:val="20"/>
                <w:szCs w:val="20"/>
                <w:lang w:val="en-US"/>
              </w:rPr>
            </w:pPr>
            <w:r w:rsidRPr="004142B0">
              <w:rPr>
                <w:rFonts w:cs="Open Sans"/>
                <w:b/>
                <w:bCs/>
                <w:sz w:val="20"/>
                <w:szCs w:val="20"/>
                <w:lang w:val="en-US"/>
              </w:rPr>
              <w:t xml:space="preserve">We have concerns regarding recognizing grant arrangement liabilities from EGAs under foreign currency (AG30.17-AG30.20). We think that grant arrangement liabilities from EGAs should be treated as monetary items and translated at year end rate, resulting exchange rate gain/loss shall be </w:t>
            </w:r>
            <w:r w:rsidR="005A5984" w:rsidRPr="004142B0">
              <w:rPr>
                <w:rFonts w:cs="Open Sans"/>
                <w:b/>
                <w:bCs/>
                <w:sz w:val="20"/>
                <w:szCs w:val="20"/>
                <w:lang w:val="en-US"/>
              </w:rPr>
              <w:t xml:space="preserve">recognized and </w:t>
            </w:r>
            <w:r w:rsidRPr="004142B0">
              <w:rPr>
                <w:rFonts w:cs="Open Sans"/>
                <w:b/>
                <w:bCs/>
                <w:sz w:val="20"/>
                <w:szCs w:val="20"/>
                <w:lang w:val="en-US"/>
              </w:rPr>
              <w:t>presented in the</w:t>
            </w:r>
            <w:r w:rsidR="005A5984" w:rsidRPr="004142B0">
              <w:rPr>
                <w:rFonts w:cs="Open Sans"/>
                <w:b/>
                <w:bCs/>
                <w:sz w:val="20"/>
                <w:szCs w:val="20"/>
                <w:lang w:val="en-US"/>
              </w:rPr>
              <w:t xml:space="preserve"> </w:t>
            </w:r>
            <w:r w:rsidRPr="004142B0">
              <w:rPr>
                <w:rFonts w:cs="Open Sans"/>
                <w:b/>
                <w:bCs/>
                <w:sz w:val="20"/>
                <w:szCs w:val="20"/>
                <w:lang w:val="en-US"/>
              </w:rPr>
              <w:t>financial statements consistent with the transaction to which</w:t>
            </w:r>
            <w:r w:rsidR="005A5984" w:rsidRPr="004142B0">
              <w:rPr>
                <w:rFonts w:cs="Open Sans"/>
                <w:b/>
                <w:bCs/>
                <w:sz w:val="20"/>
                <w:szCs w:val="20"/>
                <w:lang w:val="en-US"/>
              </w:rPr>
              <w:t xml:space="preserve"> </w:t>
            </w:r>
            <w:r w:rsidRPr="004142B0">
              <w:rPr>
                <w:rFonts w:cs="Open Sans"/>
                <w:b/>
                <w:bCs/>
                <w:sz w:val="20"/>
                <w:szCs w:val="20"/>
                <w:lang w:val="en-US"/>
              </w:rPr>
              <w:t>it relates.</w:t>
            </w:r>
          </w:p>
          <w:p w14:paraId="43BD5FD8" w14:textId="77777777" w:rsidR="005A5984" w:rsidRPr="004142B0" w:rsidRDefault="005A5984" w:rsidP="005A5984">
            <w:pPr>
              <w:jc w:val="both"/>
              <w:rPr>
                <w:rFonts w:cs="Open Sans"/>
                <w:b/>
                <w:bCs/>
                <w:sz w:val="20"/>
                <w:szCs w:val="20"/>
                <w:lang w:val="en-US"/>
              </w:rPr>
            </w:pPr>
            <w:r w:rsidRPr="004142B0">
              <w:rPr>
                <w:rFonts w:cs="Open Sans"/>
                <w:b/>
                <w:bCs/>
                <w:sz w:val="20"/>
                <w:szCs w:val="20"/>
                <w:lang w:val="en-US"/>
              </w:rPr>
              <w:t xml:space="preserve">Proposed practice under INPAG is that if an EGO increases, or a new obligation under an EGA is recognized due to the effect of changes in exchange rates, the additional obligation is recognized as a provision (onerous contract) in accordance with Section 21 Provisions and contingencies (AG30.18). However, this increased EGO and new </w:t>
            </w:r>
            <w:r w:rsidR="004B38EC" w:rsidRPr="004142B0">
              <w:rPr>
                <w:rFonts w:cs="Open Sans"/>
                <w:b/>
                <w:bCs/>
                <w:sz w:val="20"/>
                <w:szCs w:val="20"/>
                <w:lang w:val="en-US"/>
              </w:rPr>
              <w:t>obligation is</w:t>
            </w:r>
            <w:r w:rsidRPr="004142B0">
              <w:rPr>
                <w:rFonts w:cs="Open Sans"/>
                <w:b/>
                <w:bCs/>
                <w:sz w:val="20"/>
                <w:szCs w:val="20"/>
                <w:lang w:val="en-US"/>
              </w:rPr>
              <w:t xml:space="preserve"> directly related to grant arrangements and</w:t>
            </w:r>
            <w:r w:rsidR="004B38EC" w:rsidRPr="004142B0">
              <w:rPr>
                <w:rFonts w:cs="Open Sans"/>
                <w:b/>
                <w:bCs/>
                <w:sz w:val="20"/>
                <w:szCs w:val="20"/>
                <w:lang w:val="en-US"/>
              </w:rPr>
              <w:t xml:space="preserve"> is an integral part of it. Therefore it would be more consistent to recognize this </w:t>
            </w:r>
            <w:r w:rsidR="004B38EC" w:rsidRPr="004142B0">
              <w:rPr>
                <w:rFonts w:cs="Open Sans"/>
                <w:b/>
                <w:bCs/>
                <w:sz w:val="20"/>
                <w:szCs w:val="20"/>
                <w:lang w:val="en-US"/>
              </w:rPr>
              <w:lastRenderedPageBreak/>
              <w:t xml:space="preserve">increased EGO as EGA liability. This will be achieved translating this liability and consequently recognizing the grant revenue. </w:t>
            </w:r>
          </w:p>
          <w:p w14:paraId="5312B04B" w14:textId="77777777" w:rsidR="005A5984" w:rsidRPr="00A142E0" w:rsidRDefault="004B38EC" w:rsidP="004B38EC">
            <w:pPr>
              <w:jc w:val="both"/>
              <w:rPr>
                <w:rFonts w:cs="Open Sans"/>
                <w:b/>
                <w:bCs/>
                <w:sz w:val="20"/>
                <w:szCs w:val="20"/>
                <w:lang w:val="en-US"/>
              </w:rPr>
            </w:pPr>
            <w:r w:rsidRPr="004142B0">
              <w:rPr>
                <w:rFonts w:cs="Open Sans"/>
                <w:b/>
                <w:bCs/>
                <w:sz w:val="20"/>
                <w:szCs w:val="20"/>
                <w:lang w:val="en-US"/>
              </w:rPr>
              <w:t xml:space="preserve">In addition, current requirements are not consistent regarding recognizing grant revenue. For example, </w:t>
            </w:r>
            <w:r w:rsidR="005A5984" w:rsidRPr="004142B0">
              <w:rPr>
                <w:rFonts w:cs="Open Sans"/>
                <w:b/>
                <w:bCs/>
                <w:sz w:val="20"/>
                <w:szCs w:val="20"/>
                <w:lang w:val="en-US"/>
              </w:rPr>
              <w:t xml:space="preserve">if the impact of the change in exchange rates is to require a refund to the grantor or donor, the refund shall be a reduction to revenue (AG30.19). However, </w:t>
            </w:r>
            <w:r w:rsidRPr="004142B0">
              <w:rPr>
                <w:rFonts w:cs="Open Sans"/>
                <w:b/>
                <w:bCs/>
                <w:sz w:val="20"/>
                <w:szCs w:val="20"/>
                <w:lang w:val="en-US"/>
              </w:rPr>
              <w:t xml:space="preserve">if terms of an EGA require the NPO to spend all the money it received under that EGA, including any exchange gains on specified activities, even if all EGOs have been met. This requirement shall have no impact on the reported results of the NPO as it relates to future expenses (AG30.20). The result is, if exchange gain is returned to donor the grant revenue is reduced. On the other hand, if exchange gain is not returned to donor and instead is spent for project activities related to grant, the grant revenue is not changed. This is not consistent approach. It would be better if grant income corresponding to such expenses were recognized. Which can also be achieved by translating the </w:t>
            </w:r>
            <w:r w:rsidR="004142B0" w:rsidRPr="004142B0">
              <w:rPr>
                <w:rFonts w:cs="Open Sans"/>
                <w:b/>
                <w:bCs/>
                <w:sz w:val="20"/>
                <w:szCs w:val="20"/>
                <w:lang w:val="en-US"/>
              </w:rPr>
              <w:t>translating this liability and consequently recognizing the grant revenue.</w:t>
            </w:r>
          </w:p>
        </w:tc>
      </w:tr>
    </w:tbl>
    <w:p w14:paraId="5C5522F9" w14:textId="77777777"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17F82C42" w14:textId="77777777" w:rsidTr="00A01E83">
        <w:tc>
          <w:tcPr>
            <w:tcW w:w="14312" w:type="dxa"/>
            <w:gridSpan w:val="3"/>
          </w:tcPr>
          <w:p w14:paraId="492B8E56"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270057F4" w14:textId="77777777" w:rsidR="008A1B93" w:rsidRDefault="008A1B93" w:rsidP="00515388">
            <w:pPr>
              <w:jc w:val="both"/>
              <w:rPr>
                <w:rFonts w:ascii="Open Sans" w:hAnsi="Open Sans" w:cs="Open Sans"/>
                <w:b/>
                <w:bCs/>
                <w:sz w:val="20"/>
                <w:szCs w:val="20"/>
                <w:lang w:val="en-US"/>
              </w:rPr>
            </w:pPr>
          </w:p>
          <w:p w14:paraId="533AF5E5" w14:textId="77777777"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6489FF56" w14:textId="77777777" w:rsidTr="00A276B0">
        <w:tc>
          <w:tcPr>
            <w:tcW w:w="4388" w:type="dxa"/>
          </w:tcPr>
          <w:p w14:paraId="26C6A031" w14:textId="77777777" w:rsidR="00D8539B" w:rsidRPr="00EB6705" w:rsidRDefault="00D8539B" w:rsidP="00D8539B">
            <w:pPr>
              <w:jc w:val="both"/>
              <w:rPr>
                <w:rFonts w:ascii="Open Sans" w:hAnsi="Open Sans" w:cs="Open Sans"/>
                <w:b/>
                <w:bCs/>
                <w:sz w:val="20"/>
                <w:szCs w:val="20"/>
                <w:lang w:val="en-US"/>
              </w:rPr>
            </w:pPr>
          </w:p>
        </w:tc>
        <w:tc>
          <w:tcPr>
            <w:tcW w:w="1642" w:type="dxa"/>
          </w:tcPr>
          <w:p w14:paraId="2CFC44D4" w14:textId="77777777"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64E9485D" w14:textId="77777777"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7623E6D9" w14:textId="77777777" w:rsidTr="00A276B0">
        <w:tc>
          <w:tcPr>
            <w:tcW w:w="4388" w:type="dxa"/>
          </w:tcPr>
          <w:p w14:paraId="1D156122" w14:textId="77777777"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583C157D" w14:textId="77777777"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141148D6" w14:textId="77777777" w:rsidR="009A5B0D" w:rsidRPr="00EB6705" w:rsidRDefault="007663F7" w:rsidP="009A5B0D">
            <w:pPr>
              <w:jc w:val="both"/>
              <w:rPr>
                <w:rFonts w:ascii="Open Sans" w:hAnsi="Open Sans" w:cs="Open Sans"/>
                <w:b/>
                <w:bCs/>
                <w:sz w:val="20"/>
                <w:szCs w:val="20"/>
                <w:lang w:val="en-US"/>
              </w:rPr>
            </w:pPr>
            <w:r>
              <w:rPr>
                <w:rFonts w:ascii="Open Sans" w:hAnsi="Open Sans" w:cs="Open Sans"/>
                <w:b/>
                <w:bCs/>
                <w:sz w:val="20"/>
                <w:szCs w:val="20"/>
                <w:lang w:val="en-US"/>
              </w:rPr>
              <w:t>Agree</w:t>
            </w:r>
          </w:p>
        </w:tc>
      </w:tr>
    </w:tbl>
    <w:p w14:paraId="5A5BFA02" w14:textId="77777777"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C3BCB02" w14:textId="77777777" w:rsidTr="00BE5A55">
        <w:tc>
          <w:tcPr>
            <w:tcW w:w="14312" w:type="dxa"/>
            <w:gridSpan w:val="3"/>
          </w:tcPr>
          <w:p w14:paraId="1592FD3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4308DC54" w14:textId="77777777" w:rsidR="008A1B93" w:rsidRDefault="008A1B93" w:rsidP="00515388">
            <w:pPr>
              <w:jc w:val="both"/>
              <w:rPr>
                <w:rFonts w:ascii="Open Sans" w:hAnsi="Open Sans" w:cs="Open Sans"/>
                <w:b/>
                <w:bCs/>
                <w:sz w:val="20"/>
                <w:szCs w:val="20"/>
                <w:lang w:val="en-US"/>
              </w:rPr>
            </w:pPr>
          </w:p>
          <w:p w14:paraId="45F968F1" w14:textId="77777777"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8FF3189" w14:textId="77777777" w:rsidTr="00A276B0">
        <w:tc>
          <w:tcPr>
            <w:tcW w:w="4388" w:type="dxa"/>
          </w:tcPr>
          <w:p w14:paraId="6CE7BCF4" w14:textId="77777777" w:rsidR="002C5B7D" w:rsidRPr="00907EE8" w:rsidRDefault="002C5B7D" w:rsidP="002C5B7D">
            <w:pPr>
              <w:jc w:val="both"/>
              <w:rPr>
                <w:rFonts w:ascii="Open Sans" w:hAnsi="Open Sans" w:cs="Open Sans"/>
                <w:b/>
                <w:bCs/>
                <w:sz w:val="20"/>
                <w:szCs w:val="20"/>
              </w:rPr>
            </w:pPr>
          </w:p>
        </w:tc>
        <w:tc>
          <w:tcPr>
            <w:tcW w:w="1642" w:type="dxa"/>
          </w:tcPr>
          <w:p w14:paraId="1148C372" w14:textId="77777777"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2F7EA7FC" w14:textId="77777777"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6F1DA4FA" w14:textId="77777777" w:rsidTr="00A276B0">
        <w:tc>
          <w:tcPr>
            <w:tcW w:w="4388" w:type="dxa"/>
          </w:tcPr>
          <w:p w14:paraId="611C1714" w14:textId="7777777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0DAE50F5" w14:textId="77777777"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73646FB0" w14:textId="77777777" w:rsidR="00B83B74" w:rsidRPr="00EB6705" w:rsidRDefault="007728B3" w:rsidP="007728B3">
            <w:pPr>
              <w:rPr>
                <w:rFonts w:ascii="Open Sans" w:hAnsi="Open Sans" w:cs="Open Sans"/>
                <w:b/>
                <w:bCs/>
                <w:sz w:val="20"/>
                <w:szCs w:val="20"/>
                <w:lang w:val="en-US"/>
              </w:rPr>
            </w:pPr>
            <w:r>
              <w:rPr>
                <w:rFonts w:ascii="Open Sans" w:hAnsi="Open Sans" w:cs="Open Sans"/>
                <w:b/>
                <w:bCs/>
                <w:sz w:val="20"/>
                <w:szCs w:val="20"/>
                <w:lang w:val="en-US"/>
              </w:rPr>
              <w:t xml:space="preserve">Considering the nature of NPOs, it will be informative and beneficial for users of information and financial statements to have information about significant new grant agreements concluded after the reporting period. To add example of this as significant non-adjusting event in article G32.7. and G32.11 </w:t>
            </w:r>
          </w:p>
        </w:tc>
      </w:tr>
    </w:tbl>
    <w:p w14:paraId="5F4EF657" w14:textId="77777777"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799A58A1" w14:textId="77777777" w:rsidTr="00204A66">
        <w:tc>
          <w:tcPr>
            <w:tcW w:w="14312" w:type="dxa"/>
            <w:gridSpan w:val="2"/>
          </w:tcPr>
          <w:p w14:paraId="734D5A9E" w14:textId="77777777"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40841E67" w14:textId="77777777" w:rsidTr="00204A66">
        <w:tc>
          <w:tcPr>
            <w:tcW w:w="4390" w:type="dxa"/>
          </w:tcPr>
          <w:p w14:paraId="314714CC" w14:textId="77777777"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0EF596C7" w14:textId="7777777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7EA5FA66" w14:textId="77777777" w:rsidR="00A55295" w:rsidRDefault="00A55295" w:rsidP="009F74AC">
            <w:pPr>
              <w:rPr>
                <w:rFonts w:ascii="Open Sans" w:hAnsi="Open Sans" w:cs="Open Sans"/>
                <w:b/>
                <w:bCs/>
                <w:sz w:val="20"/>
                <w:szCs w:val="20"/>
                <w:lang w:val="en-US"/>
              </w:rPr>
            </w:pPr>
          </w:p>
        </w:tc>
      </w:tr>
    </w:tbl>
    <w:p w14:paraId="278F3F4B" w14:textId="77777777" w:rsidR="00A55295" w:rsidRPr="00EB6705" w:rsidRDefault="00A55295" w:rsidP="009F74AC">
      <w:pPr>
        <w:rPr>
          <w:rFonts w:ascii="Open Sans" w:hAnsi="Open Sans" w:cs="Open Sans"/>
          <w:b/>
          <w:bCs/>
          <w:sz w:val="20"/>
          <w:szCs w:val="20"/>
          <w:lang w:val="en-US"/>
        </w:rPr>
      </w:pPr>
    </w:p>
    <w:sectPr w:rsidR="00A55295" w:rsidRPr="00EB6705" w:rsidSect="00986E2A">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65456" w14:textId="77777777" w:rsidR="00986E2A" w:rsidRDefault="00986E2A" w:rsidP="009F74AC">
      <w:pPr>
        <w:spacing w:after="0" w:line="240" w:lineRule="auto"/>
      </w:pPr>
      <w:r>
        <w:separator/>
      </w:r>
    </w:p>
  </w:endnote>
  <w:endnote w:type="continuationSeparator" w:id="0">
    <w:p w14:paraId="77C00455" w14:textId="77777777" w:rsidR="00986E2A" w:rsidRDefault="00986E2A" w:rsidP="009F74AC">
      <w:pPr>
        <w:spacing w:after="0" w:line="240" w:lineRule="auto"/>
      </w:pPr>
      <w:r>
        <w:continuationSeparator/>
      </w:r>
    </w:p>
  </w:endnote>
  <w:endnote w:type="continuationNotice" w:id="1">
    <w:p w14:paraId="0AE6BC1A" w14:textId="77777777" w:rsidR="00986E2A" w:rsidRDefault="00986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4DED2E97" w14:textId="77777777" w:rsidR="00B54007" w:rsidRDefault="00B54007">
        <w:pPr>
          <w:pStyle w:val="Footer"/>
          <w:jc w:val="center"/>
        </w:pPr>
        <w:r>
          <w:fldChar w:fldCharType="begin"/>
        </w:r>
        <w:r>
          <w:instrText xml:space="preserve"> PAGE   \* MERGEFORMAT </w:instrText>
        </w:r>
        <w:r>
          <w:fldChar w:fldCharType="separate"/>
        </w:r>
        <w:r w:rsidR="00A62B82">
          <w:rPr>
            <w:noProof/>
          </w:rPr>
          <w:t>16</w:t>
        </w:r>
        <w:r>
          <w:rPr>
            <w:noProof/>
          </w:rPr>
          <w:fldChar w:fldCharType="end"/>
        </w:r>
      </w:p>
    </w:sdtContent>
  </w:sdt>
  <w:p w14:paraId="1F214048"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8717F" w14:textId="77777777" w:rsidR="00986E2A" w:rsidRDefault="00986E2A" w:rsidP="009F74AC">
      <w:pPr>
        <w:spacing w:after="0" w:line="240" w:lineRule="auto"/>
      </w:pPr>
      <w:r>
        <w:separator/>
      </w:r>
    </w:p>
  </w:footnote>
  <w:footnote w:type="continuationSeparator" w:id="0">
    <w:p w14:paraId="4E94DDB8" w14:textId="77777777" w:rsidR="00986E2A" w:rsidRDefault="00986E2A" w:rsidP="009F74AC">
      <w:pPr>
        <w:spacing w:after="0" w:line="240" w:lineRule="auto"/>
      </w:pPr>
      <w:r>
        <w:continuationSeparator/>
      </w:r>
    </w:p>
  </w:footnote>
  <w:footnote w:type="continuationNotice" w:id="1">
    <w:p w14:paraId="754213BE" w14:textId="77777777" w:rsidR="00986E2A" w:rsidRDefault="00986E2A">
      <w:pPr>
        <w:spacing w:after="0" w:line="240" w:lineRule="auto"/>
      </w:pPr>
    </w:p>
  </w:footnote>
  <w:footnote w:id="2">
    <w:p w14:paraId="2CEB1E56"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52F789C1"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2CB1" w14:textId="77777777" w:rsidR="00A84272" w:rsidRDefault="00A84272" w:rsidP="00A84272">
    <w:pPr>
      <w:pStyle w:val="Header"/>
      <w:jc w:val="center"/>
    </w:pPr>
    <w:r>
      <w:rPr>
        <w:noProof/>
        <w:lang w:val="en-US"/>
      </w:rPr>
      <w:drawing>
        <wp:inline distT="0" distB="0" distL="0" distR="0" wp14:anchorId="08956941" wp14:editId="66F3AAC4">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7404094">
    <w:abstractNumId w:val="6"/>
  </w:num>
  <w:num w:numId="2" w16cid:durableId="1850364698">
    <w:abstractNumId w:val="3"/>
  </w:num>
  <w:num w:numId="3" w16cid:durableId="239026753">
    <w:abstractNumId w:val="5"/>
  </w:num>
  <w:num w:numId="4" w16cid:durableId="415250139">
    <w:abstractNumId w:val="13"/>
  </w:num>
  <w:num w:numId="5" w16cid:durableId="689180893">
    <w:abstractNumId w:val="4"/>
  </w:num>
  <w:num w:numId="6" w16cid:durableId="397048248">
    <w:abstractNumId w:val="15"/>
  </w:num>
  <w:num w:numId="7" w16cid:durableId="369766987">
    <w:abstractNumId w:val="12"/>
  </w:num>
  <w:num w:numId="8" w16cid:durableId="442578909">
    <w:abstractNumId w:val="10"/>
  </w:num>
  <w:num w:numId="9" w16cid:durableId="1109928790">
    <w:abstractNumId w:val="8"/>
  </w:num>
  <w:num w:numId="10" w16cid:durableId="285278631">
    <w:abstractNumId w:val="11"/>
  </w:num>
  <w:num w:numId="11" w16cid:durableId="1709722993">
    <w:abstractNumId w:val="2"/>
  </w:num>
  <w:num w:numId="12" w16cid:durableId="841969585">
    <w:abstractNumId w:val="7"/>
  </w:num>
  <w:num w:numId="13" w16cid:durableId="558591135">
    <w:abstractNumId w:val="9"/>
  </w:num>
  <w:num w:numId="14" w16cid:durableId="1092581828">
    <w:abstractNumId w:val="1"/>
  </w:num>
  <w:num w:numId="15" w16cid:durableId="1664622738">
    <w:abstractNumId w:val="14"/>
  </w:num>
  <w:num w:numId="16" w16cid:durableId="552429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72059"/>
    <w:rsid w:val="00181523"/>
    <w:rsid w:val="0018299E"/>
    <w:rsid w:val="0018792C"/>
    <w:rsid w:val="001948B2"/>
    <w:rsid w:val="001A12FB"/>
    <w:rsid w:val="001A2764"/>
    <w:rsid w:val="001A4180"/>
    <w:rsid w:val="001A5129"/>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0D56"/>
    <w:rsid w:val="002A1419"/>
    <w:rsid w:val="002A167D"/>
    <w:rsid w:val="002B6584"/>
    <w:rsid w:val="002B7FB8"/>
    <w:rsid w:val="002C0484"/>
    <w:rsid w:val="002C0C3F"/>
    <w:rsid w:val="002C5AC9"/>
    <w:rsid w:val="002C5B7D"/>
    <w:rsid w:val="002C650A"/>
    <w:rsid w:val="002D3E58"/>
    <w:rsid w:val="002E16CB"/>
    <w:rsid w:val="002E4F95"/>
    <w:rsid w:val="00320F61"/>
    <w:rsid w:val="00326516"/>
    <w:rsid w:val="003325FA"/>
    <w:rsid w:val="00336705"/>
    <w:rsid w:val="003403BD"/>
    <w:rsid w:val="0035010D"/>
    <w:rsid w:val="00354A3A"/>
    <w:rsid w:val="003558F9"/>
    <w:rsid w:val="003745FB"/>
    <w:rsid w:val="00374B59"/>
    <w:rsid w:val="003755E7"/>
    <w:rsid w:val="003939BC"/>
    <w:rsid w:val="003A0428"/>
    <w:rsid w:val="003A1EEF"/>
    <w:rsid w:val="003B33EC"/>
    <w:rsid w:val="003C392D"/>
    <w:rsid w:val="003C7B7A"/>
    <w:rsid w:val="003E10EA"/>
    <w:rsid w:val="004142B0"/>
    <w:rsid w:val="00417841"/>
    <w:rsid w:val="004351A8"/>
    <w:rsid w:val="004437B6"/>
    <w:rsid w:val="004441A6"/>
    <w:rsid w:val="00445705"/>
    <w:rsid w:val="00463CE5"/>
    <w:rsid w:val="00464B62"/>
    <w:rsid w:val="004759D7"/>
    <w:rsid w:val="00480EB8"/>
    <w:rsid w:val="00484CCF"/>
    <w:rsid w:val="004933C9"/>
    <w:rsid w:val="004A3A1F"/>
    <w:rsid w:val="004B38EC"/>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5984"/>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663F7"/>
    <w:rsid w:val="0077222F"/>
    <w:rsid w:val="007728B3"/>
    <w:rsid w:val="00773A5A"/>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86E2A"/>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42E0"/>
    <w:rsid w:val="00A14CCC"/>
    <w:rsid w:val="00A15E58"/>
    <w:rsid w:val="00A17864"/>
    <w:rsid w:val="00A22952"/>
    <w:rsid w:val="00A260C4"/>
    <w:rsid w:val="00A276B0"/>
    <w:rsid w:val="00A30143"/>
    <w:rsid w:val="00A40D48"/>
    <w:rsid w:val="00A519D1"/>
    <w:rsid w:val="00A55295"/>
    <w:rsid w:val="00A5651A"/>
    <w:rsid w:val="00A60258"/>
    <w:rsid w:val="00A61E1B"/>
    <w:rsid w:val="00A62B82"/>
    <w:rsid w:val="00A63109"/>
    <w:rsid w:val="00A63EF0"/>
    <w:rsid w:val="00A668F6"/>
    <w:rsid w:val="00A770F0"/>
    <w:rsid w:val="00A7789F"/>
    <w:rsid w:val="00A81C55"/>
    <w:rsid w:val="00A81D90"/>
    <w:rsid w:val="00A824AB"/>
    <w:rsid w:val="00A84272"/>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2761"/>
    <w:rsid w:val="00BC308D"/>
    <w:rsid w:val="00BD09CA"/>
    <w:rsid w:val="00BD168A"/>
    <w:rsid w:val="00BE132D"/>
    <w:rsid w:val="00BF437E"/>
    <w:rsid w:val="00C3346C"/>
    <w:rsid w:val="00C340C6"/>
    <w:rsid w:val="00C448D7"/>
    <w:rsid w:val="00C46F27"/>
    <w:rsid w:val="00C5292F"/>
    <w:rsid w:val="00C66202"/>
    <w:rsid w:val="00C662BC"/>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336A"/>
    <w:rsid w:val="00E97B55"/>
    <w:rsid w:val="00EA0B23"/>
    <w:rsid w:val="00EA2E09"/>
    <w:rsid w:val="00EA3878"/>
    <w:rsid w:val="00EB6705"/>
    <w:rsid w:val="00EC26EB"/>
    <w:rsid w:val="00EE70DF"/>
    <w:rsid w:val="00EE7BF3"/>
    <w:rsid w:val="00EF069E"/>
    <w:rsid w:val="00EF110B"/>
    <w:rsid w:val="00F02B1E"/>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8EE8C"/>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customStyle="1" w:styleId="UnresolvedMention1">
    <w:name w:val="Unresolved Mention1"/>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customStyle="1" w:styleId="Mention1">
    <w:name w:val="Mention1"/>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 w:type="character" w:styleId="FollowedHyperlink">
    <w:name w:val="FollowedHyperlink"/>
    <w:basedOn w:val="DefaultParagraphFont"/>
    <w:uiPriority w:val="99"/>
    <w:semiHidden/>
    <w:unhideWhenUsed/>
    <w:rsid w:val="00773A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19802D99-041F-47FF-918E-314FFB2E8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3285</Words>
  <Characters>18727</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Samantha Musoke</cp:lastModifiedBy>
  <cp:revision>2</cp:revision>
  <dcterms:created xsi:type="dcterms:W3CDTF">2024-03-15T09:09:00Z</dcterms:created>
  <dcterms:modified xsi:type="dcterms:W3CDTF">2024-03-15T09:09:00Z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