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af6"/>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a9"/>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a9"/>
            <w:rFonts w:ascii="Open Sans" w:hAnsi="Open Sans" w:cs="Open Sans"/>
            <w:sz w:val="20"/>
            <w:szCs w:val="20"/>
            <w:lang w:val="en-US"/>
          </w:rPr>
          <w:t>www.ifr4npo.org/</w:t>
        </w:r>
      </w:hyperlink>
      <w:r w:rsidRPr="00EB6705">
        <w:rPr>
          <w:rStyle w:val="a9"/>
          <w:rFonts w:ascii="Open Sans" w:hAnsi="Open Sans" w:cs="Open Sans"/>
          <w:sz w:val="20"/>
          <w:szCs w:val="20"/>
          <w:lang w:val="en-US"/>
        </w:rPr>
        <w:t>have</w:t>
      </w:r>
      <w:r w:rsidR="00BF437E" w:rsidRPr="00EB6705">
        <w:rPr>
          <w:rStyle w:val="a9"/>
          <w:rFonts w:ascii="Open Sans" w:hAnsi="Open Sans" w:cs="Open Sans"/>
          <w:sz w:val="20"/>
          <w:szCs w:val="20"/>
          <w:lang w:val="en-US"/>
        </w:rPr>
        <w:t>-</w:t>
      </w:r>
      <w:r w:rsidRPr="00EB6705">
        <w:rPr>
          <w:rStyle w:val="a9"/>
          <w:rFonts w:ascii="Open Sans" w:hAnsi="Open Sans" w:cs="Open Sans"/>
          <w:sz w:val="20"/>
          <w:szCs w:val="20"/>
          <w:lang w:val="en-US"/>
        </w:rPr>
        <w:t>your</w:t>
      </w:r>
      <w:r w:rsidR="00BF437E" w:rsidRPr="00EB6705">
        <w:rPr>
          <w:rStyle w:val="a9"/>
          <w:rFonts w:ascii="Open Sans" w:hAnsi="Open Sans" w:cs="Open Sans"/>
          <w:sz w:val="20"/>
          <w:szCs w:val="20"/>
          <w:lang w:val="en-US"/>
        </w:rPr>
        <w:t>-</w:t>
      </w:r>
      <w:r w:rsidRPr="00EB6705">
        <w:rPr>
          <w:rStyle w:val="a9"/>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t>Respondent</w:t>
      </w:r>
      <w:r w:rsidR="00AC6610" w:rsidRPr="00EB6705">
        <w:rPr>
          <w:rFonts w:ascii="Open Sans" w:hAnsi="Open Sans" w:cs="Open Sans"/>
          <w:b/>
          <w:bCs/>
          <w:sz w:val="20"/>
          <w:szCs w:val="20"/>
        </w:rPr>
        <w:t xml:space="preserve"> information:</w:t>
      </w:r>
    </w:p>
    <w:tbl>
      <w:tblPr>
        <w:tblStyle w:val="af2"/>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lastRenderedPageBreak/>
              <w:t>First n</w:t>
            </w:r>
            <w:r w:rsidR="00F6667F" w:rsidRPr="00EB6705">
              <w:rPr>
                <w:rFonts w:ascii="Open Sans" w:hAnsi="Open Sans" w:cs="Open Sans"/>
                <w:b/>
                <w:bCs/>
                <w:sz w:val="20"/>
                <w:szCs w:val="20"/>
              </w:rPr>
              <w:t>ame:</w:t>
            </w:r>
          </w:p>
        </w:tc>
        <w:tc>
          <w:tcPr>
            <w:tcW w:w="3544" w:type="dxa"/>
          </w:tcPr>
          <w:p w14:paraId="5B1CFA8C" w14:textId="4108FCB1" w:rsidR="00F6667F" w:rsidRPr="00EB6705" w:rsidRDefault="00312FD2">
            <w:pPr>
              <w:rPr>
                <w:rFonts w:ascii="Open Sans" w:hAnsi="Open Sans" w:cs="Open Sans"/>
                <w:sz w:val="20"/>
                <w:szCs w:val="20"/>
              </w:rPr>
            </w:pPr>
            <w:r>
              <w:rPr>
                <w:rFonts w:ascii="Open Sans" w:hAnsi="Open Sans" w:cs="Open Sans"/>
                <w:sz w:val="20"/>
                <w:szCs w:val="20"/>
              </w:rPr>
              <w:t xml:space="preserve">Pavel </w:t>
            </w:r>
          </w:p>
        </w:tc>
        <w:tc>
          <w:tcPr>
            <w:tcW w:w="5386" w:type="dxa"/>
          </w:tcPr>
          <w:p w14:paraId="20A79987" w14:textId="3C2315D3"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p>
        </w:tc>
        <w:tc>
          <w:tcPr>
            <w:tcW w:w="3686" w:type="dxa"/>
          </w:tcPr>
          <w:p w14:paraId="2DF3B94F" w14:textId="5B801B53" w:rsidR="00F6667F" w:rsidRPr="00EB6705" w:rsidRDefault="00312FD2">
            <w:pPr>
              <w:rPr>
                <w:rFonts w:ascii="Open Sans" w:hAnsi="Open Sans" w:cs="Open Sans"/>
                <w:sz w:val="20"/>
                <w:szCs w:val="20"/>
              </w:rPr>
            </w:pPr>
            <w:r w:rsidRPr="00312FD2">
              <w:rPr>
                <w:rFonts w:ascii="Open Sans" w:hAnsi="Open Sans" w:cs="Open Sans"/>
                <w:sz w:val="20"/>
                <w:szCs w:val="20"/>
              </w:rPr>
              <w:t>Association "Club of Accountants and Auditors of Non-Profit Organizations"</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070D4F01" w:rsidR="00DB7739" w:rsidRPr="00EB6705" w:rsidRDefault="00312FD2">
            <w:pPr>
              <w:rPr>
                <w:rFonts w:ascii="Open Sans" w:hAnsi="Open Sans" w:cs="Open Sans"/>
                <w:sz w:val="20"/>
                <w:szCs w:val="20"/>
              </w:rPr>
            </w:pPr>
            <w:r>
              <w:rPr>
                <w:rFonts w:ascii="Open Sans" w:hAnsi="Open Sans" w:cs="Open Sans"/>
                <w:sz w:val="20"/>
                <w:szCs w:val="20"/>
              </w:rPr>
              <w:t>Gamolskiy</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af3"/>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af3"/>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7B1B2B1B" w14:textId="77777777" w:rsidR="00312FD2" w:rsidRPr="00312FD2" w:rsidRDefault="00312FD2" w:rsidP="00312FD2">
            <w:pPr>
              <w:rPr>
                <w:rFonts w:ascii="Open Sans" w:hAnsi="Open Sans" w:cs="Open Sans"/>
                <w:b/>
                <w:bCs/>
                <w:sz w:val="20"/>
                <w:szCs w:val="20"/>
              </w:rPr>
            </w:pPr>
            <w:r w:rsidRPr="00312FD2">
              <w:rPr>
                <w:rFonts w:ascii="Open Sans" w:hAnsi="Open Sans" w:cs="Open Sans"/>
                <w:sz w:val="20"/>
                <w:szCs w:val="20"/>
              </w:rPr>
              <w:t>on behalf of my organisation</w:t>
            </w:r>
          </w:p>
          <w:p w14:paraId="2F4A6BD6" w14:textId="26252C24" w:rsidR="00DB7739" w:rsidRPr="00EB6705" w:rsidRDefault="00DB7739">
            <w:pPr>
              <w:rPr>
                <w:rFonts w:ascii="Open Sans" w:hAnsi="Open Sans" w:cs="Open Sans"/>
                <w:sz w:val="20"/>
                <w:szCs w:val="20"/>
              </w:rPr>
            </w:pP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790F8AA0" w:rsidR="000C4E37" w:rsidRDefault="00312FD2" w:rsidP="000C4E37">
            <w:pPr>
              <w:rPr>
                <w:rFonts w:ascii="Open Sans" w:hAnsi="Open Sans" w:cs="Open Sans"/>
                <w:sz w:val="20"/>
                <w:szCs w:val="20"/>
              </w:rPr>
            </w:pPr>
            <w:r>
              <w:rPr>
                <w:rFonts w:ascii="Helvetica" w:hAnsi="Helvetica"/>
                <w:color w:val="222222"/>
                <w:sz w:val="21"/>
                <w:szCs w:val="21"/>
                <w:shd w:val="clear" w:color="auto" w:fill="FFFFFF"/>
              </w:rPr>
              <w:t>bclub-ngo2014@mail.ru</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00058A44" w:rsidR="000C4E37" w:rsidRPr="00EB6705" w:rsidRDefault="00312FD2" w:rsidP="000C4E37">
            <w:pPr>
              <w:rPr>
                <w:rFonts w:ascii="Open Sans" w:hAnsi="Open Sans" w:cs="Open Sans"/>
                <w:sz w:val="20"/>
                <w:szCs w:val="20"/>
              </w:rPr>
            </w:pPr>
            <w:r>
              <w:rPr>
                <w:rFonts w:ascii="Open Sans" w:hAnsi="Open Sans" w:cs="Open Sans"/>
                <w:sz w:val="20"/>
                <w:szCs w:val="20"/>
              </w:rPr>
              <w:t>Russia</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7D1559CB" w:rsidR="000C4E37" w:rsidRPr="00EB6705" w:rsidRDefault="00312FD2" w:rsidP="000C4E37">
            <w:pPr>
              <w:rPr>
                <w:rFonts w:ascii="Open Sans" w:hAnsi="Open Sans" w:cs="Open Sans"/>
                <w:sz w:val="20"/>
                <w:szCs w:val="20"/>
              </w:rPr>
            </w:pPr>
            <w:r>
              <w:rPr>
                <w:rFonts w:ascii="Open Sans" w:hAnsi="Open Sans" w:cs="Open Sans"/>
                <w:sz w:val="20"/>
                <w:szCs w:val="20"/>
              </w:rPr>
              <w:t>President</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af3"/>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af3"/>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af3"/>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af3"/>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af3"/>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af3"/>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af3"/>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af3"/>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af3"/>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af3"/>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3A193940" w:rsidR="000C4E37" w:rsidRPr="006945E7" w:rsidRDefault="00312FD2" w:rsidP="000C4E37">
            <w:pPr>
              <w:rPr>
                <w:rFonts w:ascii="Open Sans" w:hAnsi="Open Sans" w:cs="Open Sans"/>
                <w:sz w:val="20"/>
                <w:szCs w:val="20"/>
                <w:lang w:val="ru-RU"/>
              </w:rPr>
            </w:pPr>
            <w:r w:rsidRPr="00312FD2">
              <w:rPr>
                <w:rFonts w:ascii="Open Sans" w:hAnsi="Open Sans" w:cs="Open Sans"/>
                <w:sz w:val="20"/>
                <w:szCs w:val="20"/>
              </w:rPr>
              <w:t>professional accounting organisation</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47BD80E9" w14:textId="57399BD9" w:rsidR="006C21F6" w:rsidRPr="006945E7" w:rsidRDefault="006C21F6" w:rsidP="00B9538E">
            <w:pPr>
              <w:rPr>
                <w:rFonts w:ascii="Open Sans" w:hAnsi="Open Sans" w:cs="Open Sans"/>
                <w:bCs/>
                <w:color w:val="000000"/>
                <w:sz w:val="20"/>
                <w:szCs w:val="20"/>
                <w:lang w:val="ru-RU"/>
              </w:rPr>
            </w:pPr>
            <w:r w:rsidRPr="006C21F6">
              <w:rPr>
                <w:rFonts w:ascii="Open Sans" w:hAnsi="Open Sans" w:cs="Open Sans"/>
                <w:bCs/>
                <w:color w:val="000000"/>
                <w:sz w:val="20"/>
                <w:szCs w:val="20"/>
              </w:rPr>
              <w:t>Agree</w:t>
            </w:r>
            <w:r w:rsidR="006945E7" w:rsidRPr="006945E7">
              <w:rPr>
                <w:rFonts w:ascii="Open Sans" w:hAnsi="Open Sans" w:cs="Open Sans"/>
                <w:b/>
                <w:color w:val="000000"/>
                <w:sz w:val="20"/>
                <w:szCs w:val="20"/>
                <w:lang w:val="ru-RU"/>
              </w:rPr>
              <w:t xml:space="preserve"> </w:t>
            </w:r>
            <w:r w:rsidR="006945E7" w:rsidRPr="006945E7">
              <w:rPr>
                <w:rFonts w:ascii="Open Sans" w:hAnsi="Open Sans" w:cs="Open Sans"/>
                <w:b/>
                <w:color w:val="000000"/>
                <w:sz w:val="20"/>
                <w:szCs w:val="20"/>
                <w:lang w:val="en-US"/>
              </w:rPr>
              <w:t>V</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a9"/>
            <w:rFonts w:cstheme="minorHAnsi"/>
            <w:shd w:val="clear" w:color="auto" w:fill="FFFFFF"/>
          </w:rPr>
          <w:t>ifr4npo</w:t>
        </w:r>
        <w:r w:rsidRPr="006E5AB8">
          <w:rPr>
            <w:rStyle w:val="a9"/>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af2"/>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4E203923" w:rsidR="00A7789F" w:rsidRPr="006945E7" w:rsidRDefault="006945E7" w:rsidP="00A959C4">
            <w:pPr>
              <w:jc w:val="both"/>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bl>
    <w:p w14:paraId="1ED70011" w14:textId="557E99A7" w:rsidR="00A276B0" w:rsidRPr="00EB6705" w:rsidRDefault="00A276B0">
      <w:pPr>
        <w:rPr>
          <w:rFonts w:ascii="Open Sans" w:hAnsi="Open Sans" w:cs="Open Sans"/>
          <w:sz w:val="20"/>
          <w:szCs w:val="20"/>
        </w:rPr>
      </w:pPr>
    </w:p>
    <w:tbl>
      <w:tblPr>
        <w:tblStyle w:val="af2"/>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7EFAC575" w:rsidR="00FE20EA" w:rsidRPr="00D90216" w:rsidRDefault="006945E7" w:rsidP="00D90216">
            <w:pPr>
              <w:spacing w:before="120" w:after="120"/>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77F8F539" w:rsidR="00A7789F" w:rsidRPr="00EB6705" w:rsidRDefault="006945E7" w:rsidP="005476F2">
            <w:pPr>
              <w:spacing w:before="120" w:after="120"/>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B9E7372" w14:textId="77777777" w:rsidR="00314A6A" w:rsidRPr="00314A6A" w:rsidRDefault="00314A6A" w:rsidP="00314A6A">
            <w:pPr>
              <w:spacing w:before="120" w:after="120" w:line="240" w:lineRule="auto"/>
              <w:rPr>
                <w:rFonts w:ascii="Open Sans" w:hAnsi="Open Sans" w:cs="Open Sans"/>
                <w:b/>
                <w:bCs/>
                <w:sz w:val="20"/>
                <w:szCs w:val="20"/>
                <w:lang w:val="en-US"/>
              </w:rPr>
            </w:pPr>
            <w:r w:rsidRPr="00314A6A">
              <w:rPr>
                <w:rFonts w:ascii="Open Sans" w:hAnsi="Open Sans" w:cs="Open Sans"/>
                <w:b/>
                <w:bCs/>
                <w:sz w:val="20"/>
                <w:szCs w:val="20"/>
                <w:lang w:val="en-US"/>
              </w:rPr>
              <w:t>I do not agree that "fair value" is the only option for valuing donated inventory.</w:t>
            </w:r>
          </w:p>
          <w:p w14:paraId="430516A3" w14:textId="18BFC8FD" w:rsidR="00D61337" w:rsidRPr="00EB6705" w:rsidRDefault="00314A6A" w:rsidP="00314A6A">
            <w:pPr>
              <w:spacing w:before="120" w:after="120"/>
              <w:rPr>
                <w:rFonts w:ascii="Open Sans" w:hAnsi="Open Sans" w:cs="Open Sans"/>
                <w:b/>
                <w:bCs/>
                <w:sz w:val="20"/>
                <w:szCs w:val="20"/>
                <w:lang w:val="en-US"/>
              </w:rPr>
            </w:pPr>
            <w:r w:rsidRPr="00314A6A">
              <w:rPr>
                <w:rFonts w:ascii="Open Sans" w:hAnsi="Open Sans" w:cs="Open Sans"/>
                <w:b/>
                <w:bCs/>
                <w:sz w:val="20"/>
                <w:szCs w:val="20"/>
                <w:lang w:val="en-US"/>
              </w:rPr>
              <w:t>I believe that an NPO should, in cases where determining “fair value” is extremely difficult and information about in-kind donations is immaterial, allow the NPO to indicate a notional value (for example, 1 monetary unit) instead of “fair value” in such cases.</w:t>
            </w: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25BAC1CB" w:rsidR="00D61337" w:rsidRPr="00EB6705" w:rsidRDefault="00314A6A" w:rsidP="005476F2">
            <w:pPr>
              <w:spacing w:before="120" w:after="120"/>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lastRenderedPageBreak/>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7301AA08" w:rsidR="00D61337" w:rsidRPr="00EB6705" w:rsidRDefault="00314A6A" w:rsidP="005476F2">
            <w:pPr>
              <w:spacing w:before="120" w:after="120"/>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bl>
    <w:p w14:paraId="52ADDA61" w14:textId="74D97B0C" w:rsidR="00E34C92" w:rsidRPr="00EB6705" w:rsidRDefault="00E34C92">
      <w:pPr>
        <w:rPr>
          <w:rFonts w:ascii="Open Sans" w:hAnsi="Open Sans" w:cs="Open Sans"/>
          <w:sz w:val="20"/>
          <w:szCs w:val="20"/>
        </w:rPr>
      </w:pPr>
    </w:p>
    <w:tbl>
      <w:tblPr>
        <w:tblStyle w:val="af2"/>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7364FEB2" w:rsidR="00FE20EA" w:rsidRPr="00EB6705" w:rsidRDefault="00314A6A" w:rsidP="00E36F6E">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af2"/>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w:t>
            </w:r>
            <w:proofErr w:type="gramStart"/>
            <w:r w:rsidRPr="007271BB">
              <w:rPr>
                <w:rFonts w:ascii="Open Sans" w:hAnsi="Open Sans" w:cs="Open Sans"/>
                <w:color w:val="000000" w:themeColor="text1"/>
                <w:sz w:val="20"/>
                <w:szCs w:val="20"/>
              </w:rPr>
              <w:t>5 step</w:t>
            </w:r>
            <w:proofErr w:type="gramEnd"/>
            <w:r w:rsidRPr="007271BB">
              <w:rPr>
                <w:rFonts w:ascii="Open Sans" w:hAnsi="Open Sans" w:cs="Open Sans"/>
                <w:color w:val="000000" w:themeColor="text1"/>
                <w:sz w:val="20"/>
                <w:szCs w:val="20"/>
              </w:rPr>
              <w:t xml:space="preserve">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a8"/>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w:t>
            </w:r>
            <w:r w:rsidRPr="00455BD0">
              <w:rPr>
                <w:rFonts w:ascii="Open Sans" w:hAnsi="Open Sans" w:cs="Open Sans"/>
                <w:sz w:val="20"/>
                <w:szCs w:val="20"/>
              </w:rPr>
              <w:lastRenderedPageBreak/>
              <w:t>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1501A078" w14:textId="037A3EA3" w:rsidR="0054631C" w:rsidRPr="00EB6705" w:rsidRDefault="00314A6A" w:rsidP="00FE20EA">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6DC1125A" w:rsidR="0054631C" w:rsidRPr="00EB6705" w:rsidRDefault="00314A6A" w:rsidP="00FE20EA">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50BB036F" w:rsidR="00FE20EA" w:rsidRPr="00EB6705" w:rsidRDefault="00F24F3A" w:rsidP="00FE20EA">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33C4ACE1" w:rsidR="00EF069E" w:rsidRPr="00EB6705" w:rsidRDefault="00F24F3A" w:rsidP="00FE20EA">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w:t>
            </w:r>
            <w:r w:rsidRPr="00455BD0">
              <w:rPr>
                <w:rFonts w:ascii="Open Sans" w:hAnsi="Open Sans" w:cs="Open Sans"/>
                <w:sz w:val="20"/>
                <w:szCs w:val="20"/>
              </w:rPr>
              <w:lastRenderedPageBreak/>
              <w:t>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G23.36, G23.37</w:t>
            </w:r>
          </w:p>
        </w:tc>
        <w:tc>
          <w:tcPr>
            <w:tcW w:w="8282" w:type="dxa"/>
          </w:tcPr>
          <w:p w14:paraId="5BC668D7" w14:textId="61F414AC" w:rsidR="00B62A32" w:rsidRPr="00EB6705" w:rsidRDefault="00F24F3A" w:rsidP="00B62A32">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29A20ED9" w:rsidR="00B62A32" w:rsidRPr="00EB6705" w:rsidRDefault="00F24F3A" w:rsidP="00B62A32">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35923E21" w14:textId="77777777" w:rsidR="00F24F3A" w:rsidRPr="00F24F3A" w:rsidRDefault="00F24F3A" w:rsidP="00F24F3A">
            <w:pPr>
              <w:spacing w:after="0" w:line="240" w:lineRule="auto"/>
              <w:rPr>
                <w:rFonts w:ascii="Open Sans" w:hAnsi="Open Sans" w:cs="Open Sans"/>
                <w:b/>
                <w:bCs/>
                <w:sz w:val="20"/>
                <w:szCs w:val="20"/>
                <w:lang w:val="en-US"/>
              </w:rPr>
            </w:pPr>
            <w:r w:rsidRPr="00F24F3A">
              <w:rPr>
                <w:rFonts w:ascii="Open Sans" w:hAnsi="Open Sans" w:cs="Open Sans"/>
                <w:b/>
                <w:bCs/>
                <w:sz w:val="20"/>
                <w:szCs w:val="20"/>
                <w:lang w:val="en-US"/>
              </w:rPr>
              <w:t>My answer to this question is the same as the comment to paragraph G13.7:</w:t>
            </w:r>
          </w:p>
          <w:p w14:paraId="46663F8B" w14:textId="77777777" w:rsidR="00F24F3A" w:rsidRPr="00F24F3A" w:rsidRDefault="00F24F3A" w:rsidP="00F24F3A">
            <w:pPr>
              <w:spacing w:after="0" w:line="240" w:lineRule="auto"/>
              <w:rPr>
                <w:rFonts w:ascii="Open Sans" w:hAnsi="Open Sans" w:cs="Open Sans"/>
                <w:b/>
                <w:bCs/>
                <w:sz w:val="20"/>
                <w:szCs w:val="20"/>
                <w:lang w:val="en-US"/>
              </w:rPr>
            </w:pPr>
            <w:r w:rsidRPr="00F24F3A">
              <w:rPr>
                <w:rFonts w:ascii="Open Sans" w:hAnsi="Open Sans" w:cs="Open Sans"/>
                <w:b/>
                <w:bCs/>
                <w:sz w:val="20"/>
                <w:szCs w:val="20"/>
                <w:lang w:val="en-US"/>
              </w:rPr>
              <w:t>I do not agree that "fair value" is the only option for valuing donated inventory.</w:t>
            </w:r>
          </w:p>
          <w:p w14:paraId="2F03967E" w14:textId="5BA0A33E" w:rsidR="00B62A32" w:rsidRPr="00EB6705" w:rsidRDefault="00F24F3A" w:rsidP="00F24F3A">
            <w:pPr>
              <w:rPr>
                <w:rFonts w:ascii="Open Sans" w:hAnsi="Open Sans" w:cs="Open Sans"/>
                <w:b/>
                <w:bCs/>
                <w:sz w:val="20"/>
                <w:szCs w:val="20"/>
                <w:lang w:val="en-US"/>
              </w:rPr>
            </w:pPr>
            <w:r w:rsidRPr="00F24F3A">
              <w:rPr>
                <w:rFonts w:ascii="Open Sans" w:hAnsi="Open Sans" w:cs="Open Sans"/>
                <w:b/>
                <w:bCs/>
                <w:sz w:val="20"/>
                <w:szCs w:val="20"/>
                <w:lang w:val="en-US"/>
              </w:rPr>
              <w:t>I believe that an NPO should, in cases where determining “fair value” is extremely difficult and information about in-kind donations is immaterial, allow the NPO to indicate a notional value (for example, 1 monetary unit) instead of “fair value” in such cases.</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administrative tasks are generally not separate individually 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51AA2069" w:rsidR="00B62A32" w:rsidRPr="00EB6705" w:rsidRDefault="00F24F3A" w:rsidP="00B62A32">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4A402764" w:rsidR="00B62A32" w:rsidRPr="00EB6705" w:rsidRDefault="00F24F3A" w:rsidP="00B62A32">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0DD21856" w:rsidR="00B62A32" w:rsidRPr="00EB6705" w:rsidRDefault="00875488" w:rsidP="00B62A32">
            <w:pPr>
              <w:rPr>
                <w:rFonts w:ascii="Open Sans" w:hAnsi="Open Sans" w:cs="Open Sans"/>
                <w:b/>
                <w:bCs/>
                <w:sz w:val="20"/>
                <w:szCs w:val="20"/>
                <w:lang w:val="en-US"/>
              </w:rPr>
            </w:pPr>
            <w:r w:rsidRPr="00875488">
              <w:rPr>
                <w:rFonts w:ascii="Open Sans" w:hAnsi="Open Sans" w:cs="Open Sans"/>
                <w:b/>
                <w:bCs/>
                <w:sz w:val="20"/>
                <w:szCs w:val="20"/>
                <w:lang w:val="en-US"/>
              </w:rPr>
              <w:t>I agree and have no additional comments</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4AAC2F66" w:rsidR="00B62A32" w:rsidRPr="00EB6705" w:rsidRDefault="00875488" w:rsidP="00B62A32">
            <w:pPr>
              <w:rPr>
                <w:rFonts w:ascii="Open Sans" w:hAnsi="Open Sans" w:cs="Open Sans"/>
                <w:b/>
                <w:bCs/>
                <w:sz w:val="20"/>
                <w:szCs w:val="20"/>
                <w:lang w:val="en-US"/>
              </w:rPr>
            </w:pPr>
            <w:r w:rsidRPr="00875488">
              <w:rPr>
                <w:rFonts w:ascii="Open Sans" w:hAnsi="Open Sans" w:cs="Open Sans"/>
                <w:b/>
                <w:bCs/>
                <w:sz w:val="20"/>
                <w:szCs w:val="20"/>
                <w:lang w:val="en-US"/>
              </w:rPr>
              <w:t>I have no additional comments</w:t>
            </w:r>
          </w:p>
        </w:tc>
      </w:tr>
    </w:tbl>
    <w:p w14:paraId="16A05D7F" w14:textId="0FE2CD24" w:rsidR="00876D53" w:rsidRPr="00EB6705" w:rsidRDefault="00876D53">
      <w:pPr>
        <w:rPr>
          <w:rFonts w:ascii="Open Sans" w:hAnsi="Open Sans" w:cs="Open Sans"/>
          <w:sz w:val="20"/>
          <w:szCs w:val="20"/>
        </w:rPr>
      </w:pPr>
    </w:p>
    <w:tbl>
      <w:tblPr>
        <w:tblStyle w:val="af2"/>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a8"/>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5D0CB41E" w:rsidR="00EE70DF" w:rsidRPr="00EB6705" w:rsidRDefault="004C7F09" w:rsidP="00EE70DF">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35786902" w:rsidR="00EE70DF" w:rsidRPr="00EB6705" w:rsidRDefault="004C7F09" w:rsidP="00EE70DF">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5D3556D4" w:rsidR="00EE70DF" w:rsidRPr="00EB6705" w:rsidRDefault="004C7F09" w:rsidP="00EE70DF">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7DBB04EB" w:rsidR="00EE70DF" w:rsidRPr="004C7F09" w:rsidRDefault="004C7F09" w:rsidP="00EE70DF">
            <w:pPr>
              <w:rPr>
                <w:rFonts w:ascii="Open Sans" w:hAnsi="Open Sans" w:cs="Open Sans"/>
                <w:b/>
                <w:bCs/>
                <w:sz w:val="20"/>
                <w:szCs w:val="20"/>
                <w:lang w:val="ru-RU"/>
              </w:rPr>
            </w:pPr>
            <w:r w:rsidRPr="004C7F09">
              <w:rPr>
                <w:rFonts w:ascii="Open Sans" w:hAnsi="Open Sans" w:cs="Open Sans"/>
                <w:b/>
                <w:bCs/>
                <w:sz w:val="20"/>
                <w:szCs w:val="20"/>
                <w:lang w:val="en-US"/>
              </w:rPr>
              <w:t>I agree 100%</w:t>
            </w:r>
            <w:r>
              <w:rPr>
                <w:rFonts w:ascii="Open Sans" w:hAnsi="Open Sans" w:cs="Open Sans"/>
                <w:b/>
                <w:bCs/>
                <w:sz w:val="20"/>
                <w:szCs w:val="20"/>
                <w:lang w:val="ru-RU"/>
              </w:rPr>
              <w:t>!</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00B6E75E" w:rsidR="00EE70DF" w:rsidRPr="00EB6705" w:rsidRDefault="004C7F09" w:rsidP="00EE70DF">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the proposals for disclosure of grant expenses, which include a sensitive information exemption, provide an appropriate level of transparency? If not, </w:t>
            </w:r>
            <w:r>
              <w:rPr>
                <w:rFonts w:ascii="Open Sans" w:hAnsi="Open Sans" w:cs="Open Sans"/>
                <w:sz w:val="20"/>
                <w:szCs w:val="20"/>
              </w:rPr>
              <w:lastRenderedPageBreak/>
              <w:t>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lastRenderedPageBreak/>
              <w:t>G24.32-G24.41</w:t>
            </w:r>
          </w:p>
        </w:tc>
        <w:tc>
          <w:tcPr>
            <w:tcW w:w="8282" w:type="dxa"/>
          </w:tcPr>
          <w:p w14:paraId="6BB4556A" w14:textId="7D3C7CEF" w:rsidR="00EE70DF" w:rsidRPr="00EB6705" w:rsidRDefault="004C7F09" w:rsidP="00EE70DF">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af3"/>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6100A50D" w:rsidR="00EE70DF" w:rsidRPr="00EB6705" w:rsidRDefault="004C7F09" w:rsidP="00EE70DF">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EE70DF" w:rsidRDefault="00EE70DF" w:rsidP="00EE70DF">
            <w:pPr>
              <w:pStyle w:val="af3"/>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af3"/>
              <w:ind w:left="0"/>
              <w:rPr>
                <w:rFonts w:ascii="Open Sans" w:hAnsi="Open Sans" w:cs="Open Sans"/>
                <w:sz w:val="20"/>
                <w:szCs w:val="20"/>
              </w:rPr>
            </w:pPr>
          </w:p>
          <w:p w14:paraId="321A0312" w14:textId="77777777" w:rsidR="00EE70DF" w:rsidRDefault="00EE70DF" w:rsidP="00EE70DF">
            <w:pPr>
              <w:pStyle w:val="af3"/>
              <w:ind w:left="0"/>
              <w:rPr>
                <w:rFonts w:ascii="Open Sans" w:hAnsi="Open Sans" w:cs="Open Sans"/>
                <w:sz w:val="20"/>
                <w:szCs w:val="20"/>
              </w:rPr>
            </w:pPr>
          </w:p>
          <w:p w14:paraId="2AF49272" w14:textId="77777777" w:rsidR="00EE70DF" w:rsidRDefault="00EE70DF" w:rsidP="00EE70DF">
            <w:pPr>
              <w:pStyle w:val="af3"/>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21022865" w:rsidR="00EE70DF" w:rsidRPr="00EB6705" w:rsidRDefault="004C7F09" w:rsidP="00EE70DF">
            <w:pPr>
              <w:rPr>
                <w:rFonts w:ascii="Open Sans" w:hAnsi="Open Sans" w:cs="Open Sans"/>
                <w:b/>
                <w:bCs/>
                <w:sz w:val="20"/>
                <w:szCs w:val="20"/>
                <w:lang w:val="en-US"/>
              </w:rPr>
            </w:pPr>
            <w:r w:rsidRPr="004C7F09">
              <w:rPr>
                <w:rFonts w:ascii="Open Sans" w:hAnsi="Open Sans" w:cs="Open Sans"/>
                <w:b/>
                <w:bCs/>
                <w:sz w:val="20"/>
                <w:szCs w:val="20"/>
                <w:lang w:val="en-US"/>
              </w:rPr>
              <w:t>I have no other comments</w:t>
            </w:r>
          </w:p>
        </w:tc>
      </w:tr>
    </w:tbl>
    <w:p w14:paraId="62CFC555" w14:textId="0AE48D70" w:rsidR="00876D53" w:rsidRPr="00EB6705" w:rsidRDefault="00876D53">
      <w:pPr>
        <w:rPr>
          <w:rFonts w:ascii="Open Sans" w:hAnsi="Open Sans" w:cs="Open Sans"/>
          <w:sz w:val="20"/>
          <w:szCs w:val="20"/>
        </w:rPr>
      </w:pPr>
    </w:p>
    <w:tbl>
      <w:tblPr>
        <w:tblStyle w:val="af2"/>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w:t>
            </w:r>
            <w:r w:rsidRPr="002C18D0">
              <w:rPr>
                <w:rFonts w:ascii="Open Sans" w:hAnsi="Open Sans" w:cs="Open Sans"/>
                <w:sz w:val="20"/>
                <w:szCs w:val="20"/>
              </w:rPr>
              <w:lastRenderedPageBreak/>
              <w:t>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lastRenderedPageBreak/>
              <w:t>Section 25</w:t>
            </w:r>
          </w:p>
        </w:tc>
        <w:tc>
          <w:tcPr>
            <w:tcW w:w="8233" w:type="dxa"/>
          </w:tcPr>
          <w:p w14:paraId="30D0BEF5" w14:textId="7A84255E" w:rsidR="007312A9" w:rsidRPr="00EB6705" w:rsidRDefault="004C7F09" w:rsidP="007312A9">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bl>
    <w:p w14:paraId="2237F06C" w14:textId="22B9F13E" w:rsidR="00C77881" w:rsidRPr="00EB6705" w:rsidRDefault="00C77881">
      <w:pPr>
        <w:rPr>
          <w:rFonts w:ascii="Open Sans" w:hAnsi="Open Sans" w:cs="Open Sans"/>
          <w:sz w:val="20"/>
          <w:szCs w:val="20"/>
        </w:rPr>
      </w:pPr>
    </w:p>
    <w:tbl>
      <w:tblPr>
        <w:tblStyle w:val="af2"/>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7B06CF05" w:rsidR="00563EEE" w:rsidRPr="00EB6705" w:rsidRDefault="004C7F09" w:rsidP="00563EEE">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bl>
    <w:p w14:paraId="410BCA06" w14:textId="7D12AD5E" w:rsidR="00C77881" w:rsidRPr="00EB6705" w:rsidRDefault="00C77881">
      <w:pPr>
        <w:rPr>
          <w:rFonts w:ascii="Open Sans" w:hAnsi="Open Sans" w:cs="Open Sans"/>
          <w:sz w:val="20"/>
          <w:szCs w:val="20"/>
        </w:rPr>
      </w:pPr>
    </w:p>
    <w:tbl>
      <w:tblPr>
        <w:tblStyle w:val="af2"/>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w:t>
            </w:r>
            <w:r w:rsidRPr="002C18D0">
              <w:rPr>
                <w:rFonts w:ascii="Open Sans" w:hAnsi="Open Sans" w:cs="Open Sans"/>
                <w:sz w:val="20"/>
                <w:szCs w:val="20"/>
              </w:rPr>
              <w:lastRenderedPageBreak/>
              <w:t xml:space="preserve">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lastRenderedPageBreak/>
              <w:t>G28.3, G28.27</w:t>
            </w:r>
          </w:p>
        </w:tc>
        <w:tc>
          <w:tcPr>
            <w:tcW w:w="8282" w:type="dxa"/>
          </w:tcPr>
          <w:p w14:paraId="654B219E" w14:textId="474C5A3F" w:rsidR="00240FA8" w:rsidRPr="00EB6705" w:rsidRDefault="004C7F09" w:rsidP="00240FA8">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13BC42F8" w:rsidR="00240FA8" w:rsidRPr="00EB6705" w:rsidRDefault="004C7F09" w:rsidP="00240FA8">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bl>
    <w:p w14:paraId="5EEDAAA5" w14:textId="5091EB61" w:rsidR="00C77881" w:rsidRPr="00EB6705" w:rsidRDefault="00C77881">
      <w:pPr>
        <w:rPr>
          <w:rFonts w:ascii="Open Sans" w:hAnsi="Open Sans" w:cs="Open Sans"/>
          <w:sz w:val="20"/>
          <w:szCs w:val="20"/>
        </w:rPr>
      </w:pPr>
    </w:p>
    <w:tbl>
      <w:tblPr>
        <w:tblStyle w:val="af2"/>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4B0B3744" w:rsidR="0083399D" w:rsidRPr="00EB6705" w:rsidRDefault="004C7F09" w:rsidP="0083399D">
            <w:pPr>
              <w:jc w:val="both"/>
              <w:rPr>
                <w:rFonts w:ascii="Open Sans" w:hAnsi="Open Sans" w:cs="Open Sans"/>
                <w:b/>
                <w:bCs/>
                <w:sz w:val="20"/>
                <w:szCs w:val="20"/>
                <w:lang w:val="en-US"/>
              </w:rPr>
            </w:pPr>
            <w:r w:rsidRPr="004C7F09">
              <w:rPr>
                <w:rFonts w:ascii="Open Sans" w:hAnsi="Open Sans" w:cs="Open Sans"/>
                <w:b/>
                <w:bCs/>
                <w:sz w:val="20"/>
                <w:szCs w:val="20"/>
                <w:lang w:val="en-US"/>
              </w:rPr>
              <w:t>I have no other comments</w:t>
            </w:r>
          </w:p>
        </w:tc>
      </w:tr>
    </w:tbl>
    <w:p w14:paraId="7A83EB8D" w14:textId="08FFC860" w:rsidR="00C77881" w:rsidRPr="00EB6705" w:rsidRDefault="00C77881">
      <w:pPr>
        <w:rPr>
          <w:rFonts w:ascii="Open Sans" w:hAnsi="Open Sans" w:cs="Open Sans"/>
          <w:sz w:val="20"/>
          <w:szCs w:val="20"/>
        </w:rPr>
      </w:pPr>
    </w:p>
    <w:tbl>
      <w:tblPr>
        <w:tblStyle w:val="af2"/>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4F8E4902" w:rsidR="001A2764" w:rsidRPr="00EB6705" w:rsidRDefault="004C7F09" w:rsidP="001A2764">
            <w:pPr>
              <w:jc w:val="both"/>
              <w:rPr>
                <w:rFonts w:ascii="Open Sans" w:hAnsi="Open Sans" w:cs="Open Sans"/>
                <w:b/>
                <w:bCs/>
                <w:sz w:val="20"/>
                <w:szCs w:val="20"/>
                <w:lang w:val="nl-NL"/>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0B306ACC" w:rsidR="001A2764" w:rsidRPr="00EB6705" w:rsidRDefault="004C7F09" w:rsidP="001A2764">
            <w:pPr>
              <w:jc w:val="both"/>
              <w:rPr>
                <w:rFonts w:ascii="Open Sans" w:hAnsi="Open Sans" w:cs="Open Sans"/>
                <w:b/>
                <w:bCs/>
                <w:sz w:val="20"/>
                <w:szCs w:val="20"/>
                <w:lang w:val="nl-NL"/>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5661E8AD" w:rsidR="001A2764" w:rsidRPr="00EB6705" w:rsidRDefault="004C7F09" w:rsidP="001A2764">
            <w:pPr>
              <w:jc w:val="both"/>
              <w:rPr>
                <w:rFonts w:ascii="Open Sans" w:hAnsi="Open Sans" w:cs="Open Sans"/>
                <w:b/>
                <w:bCs/>
                <w:sz w:val="20"/>
                <w:szCs w:val="20"/>
                <w:lang w:val="nl-NL"/>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Section 30, including whether there are any NPO-specific recognition and measurement </w:t>
            </w:r>
            <w:r>
              <w:rPr>
                <w:rFonts w:ascii="Open Sans" w:hAnsi="Open Sans" w:cs="Open Sans"/>
                <w:sz w:val="20"/>
                <w:szCs w:val="20"/>
              </w:rPr>
              <w:lastRenderedPageBreak/>
              <w:t>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lastRenderedPageBreak/>
              <w:t>Section 30</w:t>
            </w:r>
          </w:p>
        </w:tc>
        <w:tc>
          <w:tcPr>
            <w:tcW w:w="8282" w:type="dxa"/>
          </w:tcPr>
          <w:p w14:paraId="5C0B500F" w14:textId="43ACF186" w:rsidR="001A2764" w:rsidRPr="00EB6705" w:rsidRDefault="004C7F09" w:rsidP="001A2764">
            <w:pPr>
              <w:jc w:val="both"/>
              <w:rPr>
                <w:rFonts w:ascii="Open Sans" w:hAnsi="Open Sans" w:cs="Open Sans"/>
                <w:b/>
                <w:bCs/>
                <w:sz w:val="20"/>
                <w:szCs w:val="20"/>
                <w:lang w:val="nl-NL"/>
              </w:rPr>
            </w:pPr>
            <w:r w:rsidRPr="004C7F09">
              <w:rPr>
                <w:rFonts w:ascii="Open Sans" w:hAnsi="Open Sans" w:cs="Open Sans"/>
                <w:b/>
                <w:bCs/>
                <w:sz w:val="20"/>
                <w:szCs w:val="20"/>
                <w:lang w:val="nl-NL"/>
              </w:rPr>
              <w:t>I have no other comments</w:t>
            </w:r>
          </w:p>
        </w:tc>
      </w:tr>
    </w:tbl>
    <w:p w14:paraId="28006D2B" w14:textId="57B6C013" w:rsidR="001C3A48" w:rsidRPr="00EB6705" w:rsidRDefault="001C3A48">
      <w:pPr>
        <w:rPr>
          <w:rFonts w:ascii="Open Sans" w:hAnsi="Open Sans" w:cs="Open Sans"/>
          <w:sz w:val="20"/>
          <w:szCs w:val="20"/>
        </w:rPr>
      </w:pPr>
    </w:p>
    <w:tbl>
      <w:tblPr>
        <w:tblStyle w:val="af2"/>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370FF15D" w:rsidR="009A5B0D" w:rsidRPr="00EB6705" w:rsidRDefault="00A83E9D" w:rsidP="009A5B0D">
            <w:pPr>
              <w:jc w:val="both"/>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bl>
    <w:p w14:paraId="6D13A06C" w14:textId="18F37165" w:rsidR="001C3A48" w:rsidRPr="00EB6705" w:rsidRDefault="001C3A48">
      <w:pPr>
        <w:rPr>
          <w:rFonts w:ascii="Open Sans" w:hAnsi="Open Sans" w:cs="Open Sans"/>
          <w:sz w:val="20"/>
          <w:szCs w:val="20"/>
        </w:rPr>
      </w:pPr>
    </w:p>
    <w:tbl>
      <w:tblPr>
        <w:tblStyle w:val="af2"/>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lastRenderedPageBreak/>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6C5910FC" w:rsidR="00B83B74" w:rsidRPr="00EB6705" w:rsidRDefault="00A83E9D" w:rsidP="00B83B74">
            <w:pPr>
              <w:rPr>
                <w:rFonts w:ascii="Open Sans" w:hAnsi="Open Sans" w:cs="Open Sans"/>
                <w:b/>
                <w:bCs/>
                <w:sz w:val="20"/>
                <w:szCs w:val="20"/>
                <w:lang w:val="en-US"/>
              </w:rPr>
            </w:pPr>
            <w:r w:rsidRPr="006945E7">
              <w:rPr>
                <w:rFonts w:ascii="Open Sans" w:hAnsi="Open Sans" w:cs="Open Sans"/>
                <w:b/>
                <w:bCs/>
                <w:sz w:val="20"/>
                <w:szCs w:val="20"/>
                <w:lang w:val="en-US"/>
              </w:rPr>
              <w:t xml:space="preserve">I </w:t>
            </w:r>
            <w:r w:rsidRPr="006945E7">
              <w:rPr>
                <w:rFonts w:ascii="Open Sans" w:hAnsi="Open Sans" w:cs="Open Sans"/>
                <w:b/>
                <w:bCs/>
                <w:sz w:val="20"/>
                <w:szCs w:val="20"/>
              </w:rPr>
              <w:t>agree</w:t>
            </w:r>
          </w:p>
        </w:tc>
      </w:tr>
    </w:tbl>
    <w:p w14:paraId="27BD1E7D" w14:textId="24191466" w:rsidR="009F74AC" w:rsidRDefault="009F74AC" w:rsidP="009F74AC">
      <w:pPr>
        <w:rPr>
          <w:rFonts w:ascii="Open Sans" w:hAnsi="Open Sans" w:cs="Open Sans"/>
          <w:b/>
          <w:bCs/>
          <w:sz w:val="20"/>
          <w:szCs w:val="20"/>
          <w:lang w:val="en-US"/>
        </w:rPr>
      </w:pPr>
    </w:p>
    <w:tbl>
      <w:tblPr>
        <w:tblStyle w:val="af2"/>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67E8759F" w14:textId="01427EA0" w:rsidR="00A55295" w:rsidRDefault="00A83E9D" w:rsidP="009F74AC">
            <w:pPr>
              <w:rPr>
                <w:rFonts w:ascii="Open Sans" w:hAnsi="Open Sans" w:cs="Open Sans"/>
                <w:b/>
                <w:bCs/>
                <w:sz w:val="20"/>
                <w:szCs w:val="20"/>
                <w:lang w:val="en-US"/>
              </w:rPr>
            </w:pPr>
            <w:r w:rsidRPr="00A83E9D">
              <w:rPr>
                <w:rFonts w:ascii="Open Sans" w:hAnsi="Open Sans" w:cs="Open Sans"/>
                <w:b/>
                <w:bCs/>
                <w:sz w:val="20"/>
                <w:szCs w:val="20"/>
                <w:lang w:val="en-US"/>
              </w:rPr>
              <w:t>I am grateful to the project team for the in-depth study of the document and for the fact that all previously expressed comments and wishes were taken into account. The project takes into account the specifics of different types of NPOs, and is quite suitable for NPOs in Russia.</w:t>
            </w: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64668A">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208B" w14:textId="77777777" w:rsidR="0064668A" w:rsidRDefault="0064668A" w:rsidP="009F74AC">
      <w:pPr>
        <w:spacing w:after="0" w:line="240" w:lineRule="auto"/>
      </w:pPr>
      <w:r>
        <w:separator/>
      </w:r>
    </w:p>
  </w:endnote>
  <w:endnote w:type="continuationSeparator" w:id="0">
    <w:p w14:paraId="1651C6A9" w14:textId="77777777" w:rsidR="0064668A" w:rsidRDefault="0064668A" w:rsidP="009F74AC">
      <w:pPr>
        <w:spacing w:after="0" w:line="240" w:lineRule="auto"/>
      </w:pPr>
      <w:r>
        <w:continuationSeparator/>
      </w:r>
    </w:p>
  </w:endnote>
  <w:endnote w:type="continuationNotice" w:id="1">
    <w:p w14:paraId="3D13D75F" w14:textId="77777777" w:rsidR="0064668A" w:rsidRDefault="006466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af0"/>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BBBD" w14:textId="77777777" w:rsidR="0064668A" w:rsidRDefault="0064668A" w:rsidP="009F74AC">
      <w:pPr>
        <w:spacing w:after="0" w:line="240" w:lineRule="auto"/>
      </w:pPr>
      <w:r>
        <w:separator/>
      </w:r>
    </w:p>
  </w:footnote>
  <w:footnote w:type="continuationSeparator" w:id="0">
    <w:p w14:paraId="6D992842" w14:textId="77777777" w:rsidR="0064668A" w:rsidRDefault="0064668A" w:rsidP="009F74AC">
      <w:pPr>
        <w:spacing w:after="0" w:line="240" w:lineRule="auto"/>
      </w:pPr>
      <w:r>
        <w:continuationSeparator/>
      </w:r>
    </w:p>
  </w:footnote>
  <w:footnote w:type="continuationNotice" w:id="1">
    <w:p w14:paraId="4F07FDD6" w14:textId="77777777" w:rsidR="0064668A" w:rsidRDefault="0064668A">
      <w:pPr>
        <w:spacing w:after="0" w:line="240" w:lineRule="auto"/>
      </w:pPr>
    </w:p>
  </w:footnote>
  <w:footnote w:id="2">
    <w:p w14:paraId="511C680C" w14:textId="77777777" w:rsidR="00D43FA7" w:rsidRPr="007C4826" w:rsidRDefault="00D43FA7" w:rsidP="00D43FA7">
      <w:pPr>
        <w:pStyle w:val="a3"/>
      </w:pPr>
      <w:r>
        <w:rPr>
          <w:rStyle w:val="a8"/>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a3"/>
      </w:pPr>
      <w:r>
        <w:rPr>
          <w:rStyle w:val="a8"/>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ae"/>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12FD2"/>
    <w:rsid w:val="00314A6A"/>
    <w:rsid w:val="00320F61"/>
    <w:rsid w:val="00326516"/>
    <w:rsid w:val="003325FA"/>
    <w:rsid w:val="00336705"/>
    <w:rsid w:val="003403BD"/>
    <w:rsid w:val="0035010D"/>
    <w:rsid w:val="00354A3A"/>
    <w:rsid w:val="003745FB"/>
    <w:rsid w:val="00374B59"/>
    <w:rsid w:val="003755E7"/>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C7F09"/>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4668A"/>
    <w:rsid w:val="00651710"/>
    <w:rsid w:val="00661242"/>
    <w:rsid w:val="00675790"/>
    <w:rsid w:val="0068267D"/>
    <w:rsid w:val="00692087"/>
    <w:rsid w:val="00694053"/>
    <w:rsid w:val="006945E7"/>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5488"/>
    <w:rsid w:val="00876D53"/>
    <w:rsid w:val="0088436D"/>
    <w:rsid w:val="008A1B93"/>
    <w:rsid w:val="008A350D"/>
    <w:rsid w:val="008C6B40"/>
    <w:rsid w:val="008C7009"/>
    <w:rsid w:val="008C76B2"/>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5E58"/>
    <w:rsid w:val="00A17864"/>
    <w:rsid w:val="00A22952"/>
    <w:rsid w:val="00A276B0"/>
    <w:rsid w:val="00A30143"/>
    <w:rsid w:val="00A40D48"/>
    <w:rsid w:val="00A55295"/>
    <w:rsid w:val="00A5651A"/>
    <w:rsid w:val="00A60258"/>
    <w:rsid w:val="00A61E1B"/>
    <w:rsid w:val="00A63109"/>
    <w:rsid w:val="00A63EF0"/>
    <w:rsid w:val="00A668F6"/>
    <w:rsid w:val="00A770F0"/>
    <w:rsid w:val="00A7789F"/>
    <w:rsid w:val="00A81C55"/>
    <w:rsid w:val="00A824AB"/>
    <w:rsid w:val="00A83E9D"/>
    <w:rsid w:val="00A84272"/>
    <w:rsid w:val="00A96E23"/>
    <w:rsid w:val="00A97EFD"/>
    <w:rsid w:val="00AB5BDD"/>
    <w:rsid w:val="00AC4F2A"/>
    <w:rsid w:val="00AC6610"/>
    <w:rsid w:val="00AD01FF"/>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7B55"/>
    <w:rsid w:val="00EA0B23"/>
    <w:rsid w:val="00EA2E09"/>
    <w:rsid w:val="00EA3878"/>
    <w:rsid w:val="00EB6705"/>
    <w:rsid w:val="00EC26EB"/>
    <w:rsid w:val="00EE70DF"/>
    <w:rsid w:val="00EE7BF3"/>
    <w:rsid w:val="00EF069E"/>
    <w:rsid w:val="00EF110B"/>
    <w:rsid w:val="00F02B1E"/>
    <w:rsid w:val="00F14452"/>
    <w:rsid w:val="00F24C90"/>
    <w:rsid w:val="00F24F3A"/>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9F74AC"/>
    <w:pPr>
      <w:spacing w:after="0" w:line="240" w:lineRule="auto"/>
    </w:pPr>
    <w:rPr>
      <w:sz w:val="20"/>
      <w:szCs w:val="20"/>
    </w:rPr>
  </w:style>
  <w:style w:type="character" w:customStyle="1" w:styleId="a4">
    <w:name w:val="Текст сноски Знак"/>
    <w:basedOn w:val="a0"/>
    <w:link w:val="a3"/>
    <w:uiPriority w:val="99"/>
    <w:rsid w:val="009F74AC"/>
    <w:rPr>
      <w:sz w:val="20"/>
      <w:szCs w:val="20"/>
    </w:rPr>
  </w:style>
  <w:style w:type="paragraph" w:styleId="a5">
    <w:name w:val="annotation text"/>
    <w:basedOn w:val="a"/>
    <w:link w:val="a6"/>
    <w:uiPriority w:val="99"/>
    <w:unhideWhenUsed/>
    <w:rsid w:val="009F74AC"/>
    <w:pPr>
      <w:spacing w:line="240" w:lineRule="auto"/>
    </w:pPr>
    <w:rPr>
      <w:sz w:val="20"/>
      <w:szCs w:val="20"/>
    </w:rPr>
  </w:style>
  <w:style w:type="character" w:customStyle="1" w:styleId="a6">
    <w:name w:val="Текст примечания Знак"/>
    <w:basedOn w:val="a0"/>
    <w:link w:val="a5"/>
    <w:uiPriority w:val="99"/>
    <w:rsid w:val="009F74AC"/>
    <w:rPr>
      <w:sz w:val="20"/>
      <w:szCs w:val="20"/>
    </w:rPr>
  </w:style>
  <w:style w:type="character" w:styleId="a7">
    <w:name w:val="annotation reference"/>
    <w:basedOn w:val="a0"/>
    <w:uiPriority w:val="99"/>
    <w:semiHidden/>
    <w:unhideWhenUsed/>
    <w:rsid w:val="009F74AC"/>
    <w:rPr>
      <w:sz w:val="16"/>
      <w:szCs w:val="16"/>
    </w:rPr>
  </w:style>
  <w:style w:type="character" w:styleId="a8">
    <w:name w:val="footnote reference"/>
    <w:uiPriority w:val="99"/>
    <w:unhideWhenUsed/>
    <w:rsid w:val="009F74AC"/>
    <w:rPr>
      <w:vertAlign w:val="superscript"/>
    </w:rPr>
  </w:style>
  <w:style w:type="character" w:styleId="a9">
    <w:name w:val="Hyperlink"/>
    <w:basedOn w:val="a0"/>
    <w:uiPriority w:val="99"/>
    <w:unhideWhenUsed/>
    <w:rsid w:val="00C3346C"/>
    <w:rPr>
      <w:color w:val="0563C1" w:themeColor="hyperlink"/>
      <w:u w:val="single"/>
    </w:rPr>
  </w:style>
  <w:style w:type="character" w:styleId="aa">
    <w:name w:val="Unresolved Mention"/>
    <w:basedOn w:val="a0"/>
    <w:uiPriority w:val="99"/>
    <w:semiHidden/>
    <w:unhideWhenUsed/>
    <w:rsid w:val="00C3346C"/>
    <w:rPr>
      <w:color w:val="605E5C"/>
      <w:shd w:val="clear" w:color="auto" w:fill="E1DFDD"/>
    </w:rPr>
  </w:style>
  <w:style w:type="paragraph" w:styleId="ab">
    <w:name w:val="annotation subject"/>
    <w:basedOn w:val="a5"/>
    <w:next w:val="a5"/>
    <w:link w:val="ac"/>
    <w:uiPriority w:val="99"/>
    <w:semiHidden/>
    <w:unhideWhenUsed/>
    <w:rsid w:val="00E81315"/>
    <w:rPr>
      <w:b/>
      <w:bCs/>
    </w:rPr>
  </w:style>
  <w:style w:type="character" w:customStyle="1" w:styleId="ac">
    <w:name w:val="Тема примечания Знак"/>
    <w:basedOn w:val="a6"/>
    <w:link w:val="ab"/>
    <w:uiPriority w:val="99"/>
    <w:semiHidden/>
    <w:rsid w:val="00E81315"/>
    <w:rPr>
      <w:b/>
      <w:bCs/>
      <w:sz w:val="20"/>
      <w:szCs w:val="20"/>
    </w:rPr>
  </w:style>
  <w:style w:type="character" w:styleId="ad">
    <w:name w:val="Mention"/>
    <w:basedOn w:val="a0"/>
    <w:uiPriority w:val="99"/>
    <w:unhideWhenUsed/>
    <w:rsid w:val="00E81315"/>
    <w:rPr>
      <w:color w:val="2B579A"/>
      <w:shd w:val="clear" w:color="auto" w:fill="E1DFDD"/>
    </w:rPr>
  </w:style>
  <w:style w:type="paragraph" w:styleId="ae">
    <w:name w:val="header"/>
    <w:basedOn w:val="a"/>
    <w:link w:val="af"/>
    <w:uiPriority w:val="99"/>
    <w:unhideWhenUsed/>
    <w:rsid w:val="00021FD9"/>
    <w:pPr>
      <w:tabs>
        <w:tab w:val="center" w:pos="4513"/>
        <w:tab w:val="right" w:pos="9026"/>
      </w:tabs>
      <w:spacing w:after="0" w:line="240" w:lineRule="auto"/>
    </w:pPr>
  </w:style>
  <w:style w:type="character" w:customStyle="1" w:styleId="af">
    <w:name w:val="Верхний колонтитул Знак"/>
    <w:basedOn w:val="a0"/>
    <w:link w:val="ae"/>
    <w:uiPriority w:val="99"/>
    <w:rsid w:val="00021FD9"/>
  </w:style>
  <w:style w:type="paragraph" w:styleId="af0">
    <w:name w:val="footer"/>
    <w:basedOn w:val="a"/>
    <w:link w:val="af1"/>
    <w:uiPriority w:val="99"/>
    <w:unhideWhenUsed/>
    <w:rsid w:val="00021FD9"/>
    <w:pPr>
      <w:tabs>
        <w:tab w:val="center" w:pos="4513"/>
        <w:tab w:val="right" w:pos="9026"/>
      </w:tabs>
      <w:spacing w:after="0" w:line="240" w:lineRule="auto"/>
    </w:pPr>
  </w:style>
  <w:style w:type="character" w:customStyle="1" w:styleId="af1">
    <w:name w:val="Нижний колонтитул Знак"/>
    <w:basedOn w:val="a0"/>
    <w:link w:val="af0"/>
    <w:uiPriority w:val="99"/>
    <w:rsid w:val="00021FD9"/>
  </w:style>
  <w:style w:type="table" w:styleId="af2">
    <w:name w:val="Table Grid"/>
    <w:basedOn w:val="a1"/>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80195C"/>
    <w:pPr>
      <w:ind w:left="720"/>
      <w:contextualSpacing/>
    </w:pPr>
  </w:style>
  <w:style w:type="paragraph" w:customStyle="1" w:styleId="paragraph">
    <w:name w:val="paragraph"/>
    <w:basedOn w:val="a"/>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a0"/>
    <w:rsid w:val="00CE1CA8"/>
  </w:style>
  <w:style w:type="character" w:customStyle="1" w:styleId="eop">
    <w:name w:val="eop"/>
    <w:basedOn w:val="a0"/>
    <w:rsid w:val="00CE1CA8"/>
  </w:style>
  <w:style w:type="paragraph" w:styleId="af5">
    <w:name w:val="Revision"/>
    <w:hidden/>
    <w:uiPriority w:val="99"/>
    <w:semiHidden/>
    <w:rsid w:val="00E4681B"/>
    <w:pPr>
      <w:spacing w:after="0" w:line="240" w:lineRule="auto"/>
    </w:pPr>
  </w:style>
  <w:style w:type="paragraph" w:customStyle="1" w:styleId="TableParagraph">
    <w:name w:val="Table Paragraph"/>
    <w:basedOn w:val="a"/>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a1"/>
    <w:next w:val="af2"/>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Абзац списка Знак"/>
    <w:basedOn w:val="a0"/>
    <w:link w:val="af3"/>
    <w:uiPriority w:val="34"/>
    <w:rsid w:val="00EE70DF"/>
  </w:style>
  <w:style w:type="paragraph" w:styleId="af6">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18</Pages>
  <Words>2997</Words>
  <Characters>17087</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Pavel Gamolskiy</cp:lastModifiedBy>
  <cp:revision>13</cp:revision>
  <dcterms:created xsi:type="dcterms:W3CDTF">2023-09-21T14:16:00Z</dcterms:created>
  <dcterms:modified xsi:type="dcterms:W3CDTF">2024-03-15T17:01:00Z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