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0238" w14:textId="481050E3" w:rsidR="001355E5" w:rsidRPr="00116DBC" w:rsidRDefault="001355E5" w:rsidP="001355E5">
      <w:pPr>
        <w:shd w:val="clear" w:color="auto" w:fill="FFFFFF"/>
        <w:jc w:val="center"/>
        <w:rPr>
          <w:rFonts w:ascii="Muli" w:eastAsia="Times New Roman" w:hAnsi="Muli"/>
          <w:b/>
          <w:bCs/>
          <w:color w:val="222222"/>
          <w:sz w:val="28"/>
          <w:szCs w:val="28"/>
          <w:lang w:val="en-GB" w:eastAsia="en-GB"/>
        </w:rPr>
      </w:pPr>
      <w:r w:rsidRPr="00116DBC">
        <w:rPr>
          <w:rFonts w:ascii="Muli" w:eastAsia="Times New Roman" w:hAnsi="Muli"/>
          <w:b/>
          <w:bCs/>
          <w:color w:val="222222"/>
          <w:sz w:val="28"/>
          <w:szCs w:val="28"/>
          <w:lang w:val="en-GB" w:eastAsia="en-GB"/>
        </w:rPr>
        <w:t xml:space="preserve">Response of Empacta </w:t>
      </w:r>
      <w:proofErr w:type="spellStart"/>
      <w:r w:rsidRPr="00116DBC">
        <w:rPr>
          <w:rFonts w:ascii="Muli" w:eastAsia="Times New Roman" w:hAnsi="Muli"/>
          <w:b/>
          <w:bCs/>
          <w:color w:val="222222"/>
          <w:sz w:val="28"/>
          <w:szCs w:val="28"/>
          <w:lang w:val="en-GB" w:eastAsia="en-GB"/>
        </w:rPr>
        <w:t>e.V.</w:t>
      </w:r>
      <w:proofErr w:type="spellEnd"/>
      <w:r w:rsidRPr="00116DBC">
        <w:rPr>
          <w:rFonts w:ascii="Muli" w:eastAsia="Times New Roman" w:hAnsi="Muli"/>
          <w:b/>
          <w:bCs/>
          <w:color w:val="222222"/>
          <w:sz w:val="28"/>
          <w:szCs w:val="28"/>
          <w:lang w:val="en-GB" w:eastAsia="en-GB"/>
        </w:rPr>
        <w:t xml:space="preserve"> to INPAG ED1</w:t>
      </w:r>
    </w:p>
    <w:p w14:paraId="632ADDA8" w14:textId="77777777" w:rsidR="001355E5" w:rsidRPr="00116DBC" w:rsidRDefault="001355E5" w:rsidP="001355E5">
      <w:pPr>
        <w:shd w:val="clear" w:color="auto" w:fill="FFFFFF"/>
        <w:rPr>
          <w:rFonts w:ascii="Muli" w:eastAsia="Times New Roman" w:hAnsi="Muli"/>
          <w:color w:val="222222"/>
          <w:sz w:val="22"/>
          <w:szCs w:val="22"/>
          <w:lang w:val="en-GB" w:eastAsia="en-GB"/>
        </w:rPr>
      </w:pPr>
    </w:p>
    <w:p w14:paraId="7E866286" w14:textId="77777777" w:rsidR="001355E5" w:rsidRPr="00116DBC" w:rsidRDefault="001355E5" w:rsidP="001355E5">
      <w:pPr>
        <w:shd w:val="clear" w:color="auto" w:fill="FFFFFF"/>
        <w:rPr>
          <w:rFonts w:ascii="Muli" w:eastAsia="Times New Roman" w:hAnsi="Muli"/>
          <w:color w:val="222222"/>
          <w:sz w:val="22"/>
          <w:szCs w:val="22"/>
          <w:lang w:val="en-GB" w:eastAsia="en-GB"/>
        </w:rPr>
      </w:pPr>
      <w:r w:rsidRPr="00116DBC">
        <w:rPr>
          <w:rFonts w:ascii="Muli" w:eastAsia="Times New Roman" w:hAnsi="Muli"/>
          <w:color w:val="222222"/>
          <w:sz w:val="22"/>
          <w:szCs w:val="22"/>
          <w:lang w:val="en-GB" w:eastAsia="en-GB"/>
        </w:rPr>
        <w:t>In most respects this guidance will be a huge step forward for the sector, but we have a couple of extremely serious concerns about the way the guidance is developing.</w:t>
      </w:r>
    </w:p>
    <w:p w14:paraId="047EAF7C" w14:textId="77777777" w:rsidR="001355E5" w:rsidRPr="00116DBC" w:rsidRDefault="001355E5" w:rsidP="001355E5">
      <w:pPr>
        <w:shd w:val="clear" w:color="auto" w:fill="FFFFFF"/>
        <w:rPr>
          <w:rFonts w:ascii="Muli" w:eastAsia="Times New Roman" w:hAnsi="Muli"/>
          <w:color w:val="222222"/>
          <w:sz w:val="22"/>
          <w:szCs w:val="22"/>
          <w:lang w:val="en-GB" w:eastAsia="en-GB"/>
        </w:rPr>
      </w:pPr>
    </w:p>
    <w:p w14:paraId="0B1EE4D1" w14:textId="77777777" w:rsidR="001355E5" w:rsidRPr="00116DBC" w:rsidRDefault="001355E5" w:rsidP="001355E5">
      <w:pPr>
        <w:shd w:val="clear" w:color="auto" w:fill="FFFFFF"/>
        <w:rPr>
          <w:rFonts w:ascii="Muli" w:eastAsia="Times New Roman" w:hAnsi="Muli"/>
          <w:color w:val="222222"/>
          <w:sz w:val="22"/>
          <w:szCs w:val="22"/>
          <w:lang w:val="en-GB" w:eastAsia="en-GB"/>
        </w:rPr>
      </w:pPr>
      <w:r w:rsidRPr="00116DBC">
        <w:rPr>
          <w:rFonts w:ascii="Muli" w:eastAsia="Times New Roman" w:hAnsi="Muli"/>
          <w:color w:val="222222"/>
          <w:sz w:val="22"/>
          <w:szCs w:val="22"/>
          <w:lang w:val="en-GB" w:eastAsia="en-GB"/>
        </w:rPr>
        <w:t xml:space="preserve">The first is that the draft includes quite detailed guidance about including a narrative report.  This is, of course, very valuable </w:t>
      </w:r>
      <w:proofErr w:type="gramStart"/>
      <w:r w:rsidRPr="00116DBC">
        <w:rPr>
          <w:rFonts w:ascii="Muli" w:eastAsia="Times New Roman" w:hAnsi="Muli"/>
          <w:color w:val="222222"/>
          <w:sz w:val="22"/>
          <w:szCs w:val="22"/>
          <w:lang w:val="en-GB" w:eastAsia="en-GB"/>
        </w:rPr>
        <w:t>in order to</w:t>
      </w:r>
      <w:proofErr w:type="gramEnd"/>
      <w:r w:rsidRPr="00116DBC">
        <w:rPr>
          <w:rFonts w:ascii="Muli" w:eastAsia="Times New Roman" w:hAnsi="Muli"/>
          <w:color w:val="222222"/>
          <w:sz w:val="22"/>
          <w:szCs w:val="22"/>
          <w:lang w:val="en-GB" w:eastAsia="en-GB"/>
        </w:rPr>
        <w:t xml:space="preserve"> give an understanding of what the organisation has been doing and what the numbers in the financial statements mean.  However, reporting activities could be extremely dangerous for organisations, their staff and potentially their beneficiaries working in a shrinking space.  The guidance recognises this and, in sections IG35.4 to IG35.6, grants an exception from reporting anything about such activities.  However, in section G35.7, there is also a requirement to disclose that an organisation has taken advantage of the exception.  This disclosure is little better than reporting sensitive activities - it is shouting to the authorities that the organisation has some activities that are at best controversial and at worst could place the organisation, and/or its staff and/or its beneficiaries in danger.  The authorities could make life even easier for themselves by prohibiting the use of section G35.7 when they implement INPAG.  Further attention and investigation are almost inevitable.</w:t>
      </w:r>
    </w:p>
    <w:p w14:paraId="3B3CE551" w14:textId="77777777" w:rsidR="001355E5" w:rsidRPr="00116DBC" w:rsidRDefault="001355E5" w:rsidP="001355E5">
      <w:pPr>
        <w:shd w:val="clear" w:color="auto" w:fill="FFFFFF"/>
        <w:rPr>
          <w:rFonts w:ascii="Muli" w:eastAsia="Times New Roman" w:hAnsi="Muli"/>
          <w:color w:val="222222"/>
          <w:sz w:val="22"/>
          <w:szCs w:val="22"/>
          <w:lang w:val="en-GB" w:eastAsia="en-GB"/>
        </w:rPr>
      </w:pPr>
    </w:p>
    <w:p w14:paraId="2A362187" w14:textId="77777777" w:rsidR="001355E5" w:rsidRPr="00116DBC" w:rsidRDefault="001355E5" w:rsidP="001355E5">
      <w:pPr>
        <w:shd w:val="clear" w:color="auto" w:fill="FFFFFF"/>
        <w:rPr>
          <w:rFonts w:ascii="Muli" w:eastAsia="Times New Roman" w:hAnsi="Muli"/>
          <w:color w:val="222222"/>
          <w:sz w:val="22"/>
          <w:szCs w:val="22"/>
          <w:lang w:val="en-GB" w:eastAsia="en-GB"/>
        </w:rPr>
      </w:pPr>
      <w:r w:rsidRPr="00116DBC">
        <w:rPr>
          <w:rFonts w:ascii="Muli" w:eastAsia="Times New Roman" w:hAnsi="Muli"/>
          <w:color w:val="222222"/>
          <w:sz w:val="22"/>
          <w:szCs w:val="22"/>
          <w:lang w:val="en-GB" w:eastAsia="en-GB"/>
        </w:rPr>
        <w:t xml:space="preserve">There could also be dangers for auditors.  An organisation undertaking sensitive activities might decide not to report anything about those activities and to protect itself by not disclosing that it has taken advantage of the exception.  The auditors will then have an impossible choice.  Do they put the organisation back in danger by reporting the non-compliance with the guidance or do they put their professional position (and possibly themselves) in danger by colluding with their client and ignoring the non-compliance? </w:t>
      </w:r>
    </w:p>
    <w:p w14:paraId="79B10E5B" w14:textId="77777777" w:rsidR="001355E5" w:rsidRPr="00116DBC" w:rsidRDefault="001355E5" w:rsidP="001355E5">
      <w:pPr>
        <w:shd w:val="clear" w:color="auto" w:fill="FFFFFF"/>
        <w:rPr>
          <w:rFonts w:ascii="Muli" w:eastAsia="Times New Roman" w:hAnsi="Muli"/>
          <w:color w:val="222222"/>
          <w:sz w:val="22"/>
          <w:szCs w:val="22"/>
          <w:lang w:val="en-GB" w:eastAsia="en-GB"/>
        </w:rPr>
      </w:pPr>
    </w:p>
    <w:p w14:paraId="1C2FB0EA" w14:textId="77777777" w:rsidR="00116DBC" w:rsidRDefault="00116DBC">
      <w:pPr>
        <w:widowControl/>
        <w:suppressAutoHyphens w:val="0"/>
        <w:spacing w:after="200" w:line="276" w:lineRule="auto"/>
        <w:rPr>
          <w:rFonts w:ascii="Muli" w:eastAsia="Times New Roman" w:hAnsi="Muli"/>
          <w:color w:val="222222"/>
          <w:sz w:val="22"/>
          <w:szCs w:val="22"/>
          <w:lang w:val="en-GB" w:eastAsia="en-GB"/>
        </w:rPr>
      </w:pPr>
      <w:r>
        <w:rPr>
          <w:rFonts w:ascii="Muli" w:eastAsia="Times New Roman" w:hAnsi="Muli"/>
          <w:color w:val="222222"/>
          <w:sz w:val="22"/>
          <w:szCs w:val="22"/>
          <w:lang w:val="en-GB" w:eastAsia="en-GB"/>
        </w:rPr>
        <w:br w:type="page"/>
      </w:r>
    </w:p>
    <w:p w14:paraId="1880C2DB" w14:textId="74632FDA" w:rsidR="001355E5" w:rsidRPr="00116DBC" w:rsidRDefault="001355E5" w:rsidP="001355E5">
      <w:pPr>
        <w:shd w:val="clear" w:color="auto" w:fill="FFFFFF"/>
        <w:rPr>
          <w:rFonts w:ascii="Muli" w:eastAsia="Times New Roman" w:hAnsi="Muli"/>
          <w:color w:val="222222"/>
          <w:sz w:val="22"/>
          <w:szCs w:val="22"/>
          <w:lang w:val="en-GB" w:eastAsia="en-GB"/>
        </w:rPr>
      </w:pPr>
      <w:r w:rsidRPr="00116DBC">
        <w:rPr>
          <w:rFonts w:ascii="Muli" w:eastAsia="Times New Roman" w:hAnsi="Muli"/>
          <w:color w:val="222222"/>
          <w:sz w:val="22"/>
          <w:szCs w:val="22"/>
          <w:lang w:val="en-GB" w:eastAsia="en-GB"/>
        </w:rPr>
        <w:lastRenderedPageBreak/>
        <w:t xml:space="preserve">It has been suggested that organisations may be able to comply by making vague statements about their activities, such as, “We provided workshops” or, “We supported members of the beneficiary community”, but how would this fit with the requirement of section G35.5a that the narrative report shall “provide </w:t>
      </w:r>
      <w:r w:rsidRPr="00116DBC">
        <w:rPr>
          <w:rFonts w:ascii="Muli" w:eastAsia="Times New Roman" w:hAnsi="Muli"/>
          <w:b/>
          <w:bCs/>
          <w:color w:val="222222"/>
          <w:sz w:val="22"/>
          <w:szCs w:val="22"/>
          <w:lang w:val="en-GB" w:eastAsia="en-GB"/>
        </w:rPr>
        <w:t>faithful representation</w:t>
      </w:r>
      <w:r w:rsidRPr="00116DBC">
        <w:rPr>
          <w:rFonts w:ascii="Muli" w:eastAsia="Times New Roman" w:hAnsi="Muli"/>
          <w:color w:val="222222"/>
          <w:sz w:val="22"/>
          <w:szCs w:val="22"/>
          <w:lang w:val="en-GB" w:eastAsia="en-GB"/>
        </w:rPr>
        <w:t xml:space="preserve"> of the NPO’s operations and activities”?  And how would this match the wider objective of having a narrative report that gives meaningful context to the financial statements?  It seems to us that the guidance will need some additional, carefully worded implementation guidelines and many illustrative examples to help protect both organisations and auditors.</w:t>
      </w:r>
    </w:p>
    <w:p w14:paraId="1EC00089" w14:textId="77777777" w:rsidR="001355E5" w:rsidRPr="00116DBC" w:rsidRDefault="001355E5" w:rsidP="001355E5">
      <w:pPr>
        <w:shd w:val="clear" w:color="auto" w:fill="FFFFFF"/>
        <w:rPr>
          <w:rFonts w:ascii="Muli" w:eastAsia="Times New Roman" w:hAnsi="Muli"/>
          <w:color w:val="222222"/>
          <w:sz w:val="22"/>
          <w:szCs w:val="22"/>
          <w:lang w:val="en-GB" w:eastAsia="en-GB"/>
        </w:rPr>
      </w:pPr>
    </w:p>
    <w:p w14:paraId="46E14B5B" w14:textId="34FBEF47" w:rsidR="001355E5" w:rsidRPr="00116DBC" w:rsidRDefault="001355E5" w:rsidP="001355E5">
      <w:pPr>
        <w:shd w:val="clear" w:color="auto" w:fill="FFFFFF"/>
        <w:rPr>
          <w:rFonts w:ascii="Muli" w:eastAsia="Times New Roman" w:hAnsi="Muli"/>
          <w:color w:val="222222"/>
          <w:sz w:val="22"/>
          <w:szCs w:val="22"/>
          <w:lang w:val="en-GB" w:eastAsia="en-GB"/>
        </w:rPr>
      </w:pPr>
      <w:r w:rsidRPr="00116DBC">
        <w:rPr>
          <w:rFonts w:ascii="Muli" w:eastAsia="Times New Roman" w:hAnsi="Muli"/>
          <w:color w:val="222222"/>
          <w:sz w:val="22"/>
          <w:szCs w:val="22"/>
          <w:lang w:val="en-GB" w:eastAsia="en-GB"/>
        </w:rPr>
        <w:t>Our second concern is that, at events run by INPAG, there has been some pressure to add to the guidance a requirement to compare actual financial performance with budget.  This would be a very different requirement from those applied to the commercial sector and, again, could lead to disclosing sensitive information that could be used against an organisation by a government or regulator.  Failure to achieve budgeted performance could be ammunition for saying that the organisation is failing and must therefore close.</w:t>
      </w:r>
    </w:p>
    <w:p w14:paraId="4C14B5C1" w14:textId="77777777" w:rsidR="001355E5" w:rsidRPr="00116DBC" w:rsidRDefault="001355E5" w:rsidP="001355E5">
      <w:pPr>
        <w:shd w:val="clear" w:color="auto" w:fill="FFFFFF"/>
        <w:rPr>
          <w:rFonts w:ascii="Muli" w:eastAsia="Times New Roman" w:hAnsi="Muli"/>
          <w:color w:val="222222"/>
          <w:sz w:val="22"/>
          <w:szCs w:val="22"/>
          <w:lang w:val="en-GB" w:eastAsia="en-GB"/>
        </w:rPr>
      </w:pPr>
    </w:p>
    <w:p w14:paraId="518D82D5" w14:textId="77777777" w:rsidR="001355E5" w:rsidRPr="00116DBC" w:rsidRDefault="001355E5" w:rsidP="001355E5">
      <w:pPr>
        <w:shd w:val="clear" w:color="auto" w:fill="FFFFFF"/>
        <w:rPr>
          <w:rFonts w:ascii="Muli" w:eastAsia="Times New Roman" w:hAnsi="Muli"/>
          <w:color w:val="222222"/>
          <w:sz w:val="22"/>
          <w:szCs w:val="22"/>
          <w:lang w:val="en-GB" w:eastAsia="en-GB"/>
        </w:rPr>
      </w:pPr>
      <w:r w:rsidRPr="00116DBC">
        <w:rPr>
          <w:rFonts w:ascii="Muli" w:eastAsia="Times New Roman" w:hAnsi="Muli"/>
          <w:color w:val="222222"/>
          <w:sz w:val="22"/>
          <w:szCs w:val="22"/>
          <w:lang w:val="en-GB" w:eastAsia="en-GB"/>
        </w:rPr>
        <w:t>The points we have outlined above identify features of the draft guidance that would provide oppressive regimes with tools to make the shrinking space even more difficult for organisations to work.  For some it could become impossible or too dangerous to continue operations.  In cases where they do continue, their auditors could then be placed in professionally or personally impossible situations.</w:t>
      </w:r>
    </w:p>
    <w:p w14:paraId="3CE0F76D" w14:textId="77777777" w:rsidR="001355E5" w:rsidRPr="00116DBC" w:rsidRDefault="001355E5" w:rsidP="001355E5">
      <w:pPr>
        <w:shd w:val="clear" w:color="auto" w:fill="FFFFFF"/>
        <w:rPr>
          <w:rFonts w:ascii="Muli" w:eastAsia="Times New Roman" w:hAnsi="Muli"/>
          <w:color w:val="222222"/>
          <w:sz w:val="22"/>
          <w:szCs w:val="22"/>
          <w:lang w:val="en-GB" w:eastAsia="en-GB"/>
        </w:rPr>
      </w:pPr>
    </w:p>
    <w:p w14:paraId="1D80E678" w14:textId="77777777" w:rsidR="001355E5" w:rsidRPr="00116DBC" w:rsidRDefault="001355E5" w:rsidP="001355E5">
      <w:pPr>
        <w:shd w:val="clear" w:color="auto" w:fill="FFFFFF"/>
        <w:rPr>
          <w:rFonts w:ascii="Muli" w:hAnsi="Muli"/>
          <w:sz w:val="22"/>
          <w:szCs w:val="22"/>
          <w:lang w:val="en-GB"/>
        </w:rPr>
      </w:pPr>
      <w:r w:rsidRPr="00116DBC">
        <w:rPr>
          <w:rFonts w:ascii="Muli" w:eastAsia="Times New Roman" w:hAnsi="Muli"/>
          <w:color w:val="222222"/>
          <w:sz w:val="22"/>
          <w:szCs w:val="22"/>
          <w:lang w:val="en-GB" w:eastAsia="en-GB"/>
        </w:rPr>
        <w:t>Protecting the work of organisations, and the safety of those connected with that work, is of paramount importance to the world.  That protection is far greater than the wish to provide accountants and academics with the data they think they would like for analysing and comparing NPOs.</w:t>
      </w:r>
    </w:p>
    <w:p w14:paraId="33290245" w14:textId="29FABB6F" w:rsidR="00586E42" w:rsidRPr="00116DBC" w:rsidRDefault="00586E42">
      <w:pPr>
        <w:widowControl/>
        <w:suppressAutoHyphens w:val="0"/>
        <w:spacing w:after="200" w:line="276" w:lineRule="auto"/>
        <w:rPr>
          <w:rFonts w:ascii="Muli" w:hAnsi="Muli" w:cs="Helvetica"/>
          <w:sz w:val="20"/>
          <w:szCs w:val="20"/>
          <w:lang w:val="en-GB"/>
        </w:rPr>
      </w:pPr>
    </w:p>
    <w:sectPr w:rsidR="00586E42" w:rsidRPr="00116DBC" w:rsidSect="002572F8">
      <w:headerReference w:type="default" r:id="rId7"/>
      <w:footerReference w:type="default" r:id="rId8"/>
      <w:pgSz w:w="12240" w:h="15840"/>
      <w:pgMar w:top="241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0260" w14:textId="77777777" w:rsidR="00FF02F3" w:rsidRDefault="00FF02F3" w:rsidP="00060F88">
      <w:r>
        <w:separator/>
      </w:r>
    </w:p>
  </w:endnote>
  <w:endnote w:type="continuationSeparator" w:id="0">
    <w:p w14:paraId="33290261" w14:textId="77777777" w:rsidR="00FF02F3" w:rsidRDefault="00FF02F3" w:rsidP="0006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uli">
    <w:panose1 w:val="02000503000000000000"/>
    <w:charset w:val="00"/>
    <w:family w:val="auto"/>
    <w:pitch w:val="variable"/>
    <w:sig w:usb0="A00000EF" w:usb1="4000204B"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0263" w14:textId="77777777" w:rsidR="00102A31" w:rsidRPr="00FD3FF6" w:rsidRDefault="00102A31" w:rsidP="00102A31">
    <w:pPr>
      <w:tabs>
        <w:tab w:val="center" w:pos="4703"/>
        <w:tab w:val="right" w:pos="9406"/>
      </w:tabs>
      <w:rPr>
        <w:rFonts w:ascii="Calibri" w:eastAsia="Calibri" w:hAnsi="Calibri" w:cs="Times New Roman"/>
        <w:b/>
        <w:sz w:val="16"/>
        <w:szCs w:val="16"/>
        <w:lang w:val="en-GB"/>
      </w:rPr>
    </w:pPr>
    <w:r w:rsidRPr="00FD3FF6">
      <w:rPr>
        <w:rFonts w:ascii="Calibri" w:eastAsia="Calibri" w:hAnsi="Calibri" w:cs="Times New Roman"/>
        <w:b/>
        <w:sz w:val="16"/>
        <w:szCs w:val="16"/>
        <w:lang w:val="en-GB"/>
      </w:rPr>
      <w:t xml:space="preserve">EMPACTA </w:t>
    </w:r>
    <w:r w:rsidR="00057677" w:rsidRPr="00FD3FF6">
      <w:rPr>
        <w:rFonts w:ascii="Calibri" w:eastAsia="Calibri" w:hAnsi="Calibri" w:cs="Times New Roman"/>
        <w:b/>
        <w:sz w:val="16"/>
        <w:szCs w:val="16"/>
        <w:lang w:val="en-GB"/>
      </w:rPr>
      <w:t>e.V</w:t>
    </w:r>
    <w:r w:rsidRPr="00FD3FF6">
      <w:rPr>
        <w:rFonts w:ascii="Calibri" w:eastAsia="Calibri" w:hAnsi="Calibri" w:cs="Times New Roman"/>
        <w:b/>
        <w:sz w:val="16"/>
        <w:szCs w:val="16"/>
        <w:lang w:val="en-GB"/>
      </w:rPr>
      <w:t>.</w:t>
    </w:r>
  </w:p>
  <w:p w14:paraId="33290264" w14:textId="77777777" w:rsidR="00102A31" w:rsidRPr="00FD3FF6" w:rsidRDefault="00E537BD" w:rsidP="00102A31">
    <w:pPr>
      <w:tabs>
        <w:tab w:val="center" w:pos="4703"/>
        <w:tab w:val="right" w:pos="9406"/>
      </w:tabs>
      <w:rPr>
        <w:rFonts w:ascii="Calibri" w:eastAsia="Calibri" w:hAnsi="Calibri" w:cs="Times New Roman"/>
        <w:sz w:val="16"/>
        <w:szCs w:val="16"/>
        <w:lang w:val="en-GB"/>
      </w:rPr>
    </w:pPr>
    <w:r>
      <w:rPr>
        <w:rFonts w:ascii="Calibri" w:eastAsia="Calibri" w:hAnsi="Calibri" w:cs="Times New Roman"/>
        <w:sz w:val="16"/>
        <w:szCs w:val="16"/>
        <w:lang w:val="en-GB"/>
      </w:rPr>
      <w:t>Board: Jamal Abu Farha, David Wortham</w:t>
    </w:r>
    <w:r w:rsidR="00842955">
      <w:rPr>
        <w:rFonts w:ascii="Calibri" w:eastAsia="Calibri" w:hAnsi="Calibri" w:cs="Times New Roman"/>
        <w:sz w:val="16"/>
        <w:szCs w:val="16"/>
        <w:lang w:val="en-GB"/>
      </w:rPr>
      <w:t xml:space="preserve"> (Chairmen), Frank</w:t>
    </w:r>
    <w:r>
      <w:rPr>
        <w:rFonts w:ascii="Calibri" w:eastAsia="Calibri" w:hAnsi="Calibri" w:cs="Times New Roman"/>
        <w:sz w:val="16"/>
        <w:szCs w:val="16"/>
        <w:lang w:val="en-GB"/>
      </w:rPr>
      <w:t xml:space="preserve"> Fabel (Secretary), Regina Kolesnikova</w:t>
    </w:r>
    <w:r w:rsidR="00102A31" w:rsidRPr="00FD3FF6">
      <w:rPr>
        <w:rFonts w:ascii="Calibri" w:eastAsia="Calibri" w:hAnsi="Calibri" w:cs="Times New Roman"/>
        <w:sz w:val="16"/>
        <w:szCs w:val="16"/>
        <w:lang w:val="en-GB"/>
      </w:rPr>
      <w:t xml:space="preserve"> (Treasurer) </w:t>
    </w:r>
  </w:p>
  <w:p w14:paraId="33290265" w14:textId="77777777" w:rsidR="00102A31" w:rsidRPr="00FD3FF6" w:rsidRDefault="00102A31" w:rsidP="00102A31">
    <w:pPr>
      <w:tabs>
        <w:tab w:val="center" w:pos="4703"/>
        <w:tab w:val="right" w:pos="9406"/>
      </w:tabs>
      <w:rPr>
        <w:rFonts w:ascii="Calibri" w:eastAsia="Calibri" w:hAnsi="Calibri" w:cs="Times New Roman"/>
        <w:sz w:val="16"/>
        <w:szCs w:val="16"/>
        <w:lang w:val="en-GB"/>
      </w:rPr>
    </w:pPr>
    <w:r w:rsidRPr="00FD3FF6">
      <w:rPr>
        <w:rFonts w:ascii="Calibri" w:eastAsia="Calibri" w:hAnsi="Calibri" w:cs="Times New Roman"/>
        <w:sz w:val="16"/>
        <w:szCs w:val="16"/>
        <w:lang w:val="en-GB"/>
      </w:rPr>
      <w:t>Registered in Berlin, VR 33086 B, tax №27/664/56771</w:t>
    </w:r>
  </w:p>
  <w:p w14:paraId="33290266" w14:textId="77777777" w:rsidR="00057677" w:rsidRPr="00FD3FF6" w:rsidRDefault="00057677" w:rsidP="00102A31">
    <w:pPr>
      <w:tabs>
        <w:tab w:val="center" w:pos="4703"/>
        <w:tab w:val="right" w:pos="9406"/>
      </w:tabs>
      <w:rPr>
        <w:rFonts w:ascii="Calibri" w:eastAsia="Calibri" w:hAnsi="Calibri" w:cs="Times New Roman"/>
        <w:sz w:val="16"/>
        <w:szCs w:val="16"/>
        <w:lang w:val="en-GB"/>
      </w:rPr>
    </w:pPr>
    <w:r w:rsidRPr="00FD3FF6">
      <w:rPr>
        <w:rFonts w:ascii="Calibri" w:eastAsia="Calibri" w:hAnsi="Calibri" w:cs="Times New Roman"/>
        <w:sz w:val="16"/>
        <w:szCs w:val="16"/>
        <w:lang w:val="en-GB"/>
      </w:rPr>
      <w:t>Entitled to issue confirmations of donation in acc. with § 52 Abs 2, Satz 1 Nr. (n) 7 AO (charitable purposes)</w:t>
    </w:r>
  </w:p>
  <w:p w14:paraId="33290267" w14:textId="77777777" w:rsidR="00102A31" w:rsidRPr="00586E42" w:rsidRDefault="00102A31" w:rsidP="00102A31">
    <w:pPr>
      <w:tabs>
        <w:tab w:val="center" w:pos="4703"/>
        <w:tab w:val="right" w:pos="9406"/>
      </w:tabs>
      <w:rPr>
        <w:rFonts w:ascii="Calibri" w:eastAsia="Calibri" w:hAnsi="Calibri" w:cs="Times New Roman"/>
        <w:sz w:val="16"/>
        <w:szCs w:val="16"/>
        <w:lang w:val="fr-FR"/>
      </w:rPr>
    </w:pPr>
    <w:r w:rsidRPr="00FD3FF6">
      <w:rPr>
        <w:rFonts w:ascii="Calibri" w:eastAsia="Calibri" w:hAnsi="Calibri" w:cs="Times New Roman"/>
        <w:sz w:val="16"/>
        <w:szCs w:val="16"/>
        <w:lang w:val="en-GB"/>
      </w:rPr>
      <w:t xml:space="preserve">Thielallee 113, 14195 Berlin, Germany, </w:t>
    </w:r>
    <w:hyperlink r:id="rId1" w:history="1">
      <w:r w:rsidRPr="00FD3FF6">
        <w:rPr>
          <w:rFonts w:ascii="Calibri" w:eastAsia="Calibri" w:hAnsi="Calibri" w:cs="Times New Roman"/>
          <w:color w:val="0000FF"/>
          <w:sz w:val="16"/>
          <w:szCs w:val="16"/>
          <w:u w:val="single"/>
          <w:lang w:val="en-GB"/>
        </w:rPr>
        <w:t>www.empacta.org</w:t>
      </w:r>
    </w:hyperlink>
    <w:r w:rsidRPr="00FD3FF6">
      <w:rPr>
        <w:rFonts w:ascii="Calibri" w:eastAsia="Calibri" w:hAnsi="Calibri" w:cs="Times New Roman"/>
        <w:sz w:val="16"/>
        <w:szCs w:val="16"/>
        <w:lang w:val="en-GB"/>
      </w:rPr>
      <w:t xml:space="preserve"> Tel. </w:t>
    </w:r>
    <w:r w:rsidRPr="00586E42">
      <w:rPr>
        <w:rFonts w:ascii="Calibri" w:eastAsia="Calibri" w:hAnsi="Calibri" w:cs="Times New Roman"/>
        <w:sz w:val="16"/>
        <w:szCs w:val="16"/>
        <w:lang w:val="fr-FR"/>
      </w:rPr>
      <w:t xml:space="preserve">+49 30 84 31 68 44, Tel. </w:t>
    </w:r>
    <w:r w:rsidR="00586E42">
      <w:rPr>
        <w:rFonts w:ascii="Calibri" w:eastAsia="Calibri" w:hAnsi="Calibri" w:cs="Times New Roman"/>
        <w:sz w:val="16"/>
        <w:szCs w:val="16"/>
        <w:lang w:val="fr-FR"/>
      </w:rPr>
      <w:t>+49 177 722 79 06</w:t>
    </w:r>
  </w:p>
  <w:p w14:paraId="33290268" w14:textId="77777777" w:rsidR="00102A31" w:rsidRPr="00586E42" w:rsidRDefault="00102A31" w:rsidP="00102A31">
    <w:pPr>
      <w:tabs>
        <w:tab w:val="center" w:pos="4703"/>
        <w:tab w:val="right" w:pos="9406"/>
      </w:tabs>
      <w:rPr>
        <w:rFonts w:ascii="Calibri" w:eastAsia="Calibri" w:hAnsi="Calibri" w:cs="Times New Roman"/>
        <w:color w:val="0000FF"/>
        <w:sz w:val="16"/>
        <w:szCs w:val="16"/>
        <w:u w:val="single"/>
        <w:lang w:val="fr-FR"/>
      </w:rPr>
    </w:pPr>
    <w:r w:rsidRPr="00586E42">
      <w:rPr>
        <w:rFonts w:ascii="Calibri" w:eastAsia="Calibri" w:hAnsi="Calibri" w:cs="Times New Roman"/>
        <w:sz w:val="16"/>
        <w:szCs w:val="16"/>
        <w:lang w:val="fr-FR"/>
      </w:rPr>
      <w:t xml:space="preserve">Fax: +49 89 84 00 23 17 e-mail: </w:t>
    </w:r>
    <w:hyperlink r:id="rId2" w:history="1">
      <w:r w:rsidR="00AB7072" w:rsidRPr="00586E42">
        <w:rPr>
          <w:rStyle w:val="Hyperlink"/>
          <w:rFonts w:ascii="Calibri" w:eastAsia="Calibri" w:hAnsi="Calibri" w:cs="Times New Roman"/>
          <w:sz w:val="16"/>
          <w:szCs w:val="16"/>
          <w:lang w:val="fr-FR"/>
        </w:rPr>
        <w:t>sg@empacta.org</w:t>
      </w:r>
    </w:hyperlink>
  </w:p>
  <w:p w14:paraId="33290269" w14:textId="77777777" w:rsidR="00B1015D" w:rsidRPr="00586E42" w:rsidRDefault="00102A31" w:rsidP="00586E42">
    <w:pPr>
      <w:tabs>
        <w:tab w:val="center" w:pos="4703"/>
        <w:tab w:val="right" w:pos="9406"/>
      </w:tabs>
      <w:rPr>
        <w:rFonts w:ascii="Calibri" w:eastAsia="Calibri" w:hAnsi="Calibri" w:cs="Times New Roman"/>
        <w:sz w:val="16"/>
        <w:szCs w:val="16"/>
        <w:lang w:val="fr-FR"/>
      </w:rPr>
    </w:pPr>
    <w:r w:rsidRPr="00586E42">
      <w:rPr>
        <w:rFonts w:ascii="Calibri" w:eastAsia="Calibri" w:hAnsi="Calibri" w:cs="Times New Roman"/>
        <w:sz w:val="16"/>
        <w:szCs w:val="16"/>
        <w:lang w:val="fr-FR"/>
      </w:rPr>
      <w:t xml:space="preserve">Bank </w:t>
    </w:r>
    <w:proofErr w:type="spellStart"/>
    <w:r w:rsidRPr="00586E42">
      <w:rPr>
        <w:rFonts w:ascii="Calibri" w:eastAsia="Calibri" w:hAnsi="Calibri" w:cs="Times New Roman"/>
        <w:sz w:val="16"/>
        <w:szCs w:val="16"/>
        <w:lang w:val="fr-FR"/>
      </w:rPr>
      <w:t>account</w:t>
    </w:r>
    <w:proofErr w:type="spellEnd"/>
    <w:r w:rsidRPr="00586E42">
      <w:rPr>
        <w:rFonts w:ascii="Calibri" w:eastAsia="Calibri" w:hAnsi="Calibri" w:cs="Times New Roman"/>
        <w:sz w:val="16"/>
        <w:szCs w:val="16"/>
        <w:lang w:val="fr-FR"/>
      </w:rPr>
      <w:t xml:space="preserve">: </w:t>
    </w:r>
    <w:r w:rsidR="00586E42">
      <w:rPr>
        <w:rFonts w:ascii="Calibri" w:eastAsia="Calibri" w:hAnsi="Calibri" w:cs="Times New Roman"/>
        <w:sz w:val="16"/>
        <w:szCs w:val="16"/>
        <w:lang w:val="fr-FR"/>
      </w:rPr>
      <w:t xml:space="preserve">DE18 4306 0967 1301 3329 00 / </w:t>
    </w:r>
    <w:r w:rsidR="00586E42" w:rsidRPr="00586E42">
      <w:rPr>
        <w:rFonts w:ascii="Calibri" w:eastAsia="Calibri" w:hAnsi="Calibri" w:cs="Times New Roman"/>
        <w:sz w:val="16"/>
        <w:szCs w:val="16"/>
      </w:rPr>
      <w:t>BIC GENODEM1GLS</w:t>
    </w:r>
    <w:r w:rsidR="00586E42">
      <w:rPr>
        <w:rFonts w:ascii="Calibri" w:eastAsia="Calibri" w:hAnsi="Calibri" w:cs="Times New Roman"/>
        <w:sz w:val="16"/>
        <w:szCs w:val="16"/>
        <w:lang w:val="fr-FR"/>
      </w:rPr>
      <w:t xml:space="preserve"> / </w:t>
    </w:r>
    <w:r w:rsidR="00586E42" w:rsidRPr="00586E42">
      <w:rPr>
        <w:rFonts w:ascii="Calibri" w:eastAsia="Calibri" w:hAnsi="Calibri" w:cs="Times New Roman"/>
        <w:sz w:val="16"/>
        <w:szCs w:val="16"/>
      </w:rPr>
      <w:t>GLS Bank</w:t>
    </w:r>
    <w:r w:rsidR="00586E42">
      <w:rPr>
        <w:rFonts w:ascii="Calibri" w:eastAsia="Calibri" w:hAnsi="Calibri" w:cs="Times New Roman"/>
        <w:sz w:val="16"/>
        <w:szCs w:val="16"/>
        <w:lang w:val="fr-FR"/>
      </w:rPr>
      <w:t xml:space="preserve">, </w:t>
    </w:r>
    <w:r w:rsidR="00586E42" w:rsidRPr="00586E42">
      <w:rPr>
        <w:rFonts w:ascii="Calibri" w:eastAsia="Calibri" w:hAnsi="Calibri" w:cs="Times New Roman"/>
        <w:sz w:val="16"/>
        <w:szCs w:val="16"/>
      </w:rPr>
      <w:t>Bochum, Germany</w:t>
    </w:r>
  </w:p>
  <w:p w14:paraId="3329026A" w14:textId="77777777" w:rsidR="006441DA" w:rsidRPr="006441DA" w:rsidRDefault="006441DA" w:rsidP="006441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025E" w14:textId="77777777" w:rsidR="00FF02F3" w:rsidRDefault="00FF02F3" w:rsidP="00060F88">
      <w:r>
        <w:separator/>
      </w:r>
    </w:p>
  </w:footnote>
  <w:footnote w:type="continuationSeparator" w:id="0">
    <w:p w14:paraId="3329025F" w14:textId="77777777" w:rsidR="00FF02F3" w:rsidRDefault="00FF02F3" w:rsidP="0006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0262" w14:textId="77777777" w:rsidR="00060F88" w:rsidRDefault="001C74E0" w:rsidP="001C74E0">
    <w:pPr>
      <w:pStyle w:val="Header"/>
      <w:jc w:val="center"/>
    </w:pPr>
    <w:r>
      <w:rPr>
        <w:rFonts w:ascii="Calibri" w:eastAsia="Calibri" w:hAnsi="Calibri" w:cs="Calibri"/>
        <w:noProof/>
        <w:color w:val="000000"/>
        <w:lang w:val="de-DE" w:eastAsia="de-DE"/>
      </w:rPr>
      <w:drawing>
        <wp:inline distT="0" distB="0" distL="0" distR="0" wp14:anchorId="3329026B" wp14:editId="3329026C">
          <wp:extent cx="2502123" cy="559331"/>
          <wp:effectExtent l="0" t="0" r="0" b="0"/>
          <wp:docPr id="1" name="image1.jpg" descr="C:\Users\Fabel\Documents\Warm_Site\Empacta GmbH Wirtschaftsprüfungsgesellschaft\PR - Website\Logo20.JPG"/>
          <wp:cNvGraphicFramePr/>
          <a:graphic xmlns:a="http://schemas.openxmlformats.org/drawingml/2006/main">
            <a:graphicData uri="http://schemas.openxmlformats.org/drawingml/2006/picture">
              <pic:pic xmlns:pic="http://schemas.openxmlformats.org/drawingml/2006/picture">
                <pic:nvPicPr>
                  <pic:cNvPr id="0" name="image1.jpg" descr="C:\Users\Fabel\Documents\Warm_Site\Empacta GmbH Wirtschaftsprüfungsgesellschaft\PR - Website\Logo20.JPG"/>
                  <pic:cNvPicPr preferRelativeResize="0"/>
                </pic:nvPicPr>
                <pic:blipFill>
                  <a:blip r:embed="rId1"/>
                  <a:srcRect/>
                  <a:stretch>
                    <a:fillRect/>
                  </a:stretch>
                </pic:blipFill>
                <pic:spPr>
                  <a:xfrm>
                    <a:off x="0" y="0"/>
                    <a:ext cx="2502123" cy="55933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1.5pt;height:65.25pt" o:bullet="t">
        <v:imagedata r:id="rId1" o:title="Logom2"/>
      </v:shape>
    </w:pict>
  </w:numPicBullet>
  <w:abstractNum w:abstractNumId="0" w15:restartNumberingAfterBreak="0">
    <w:nsid w:val="05EB3BD2"/>
    <w:multiLevelType w:val="hybridMultilevel"/>
    <w:tmpl w:val="18B68336"/>
    <w:lvl w:ilvl="0" w:tplc="C9D0DE6A">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A64949"/>
    <w:multiLevelType w:val="hybridMultilevel"/>
    <w:tmpl w:val="2124ED8E"/>
    <w:lvl w:ilvl="0" w:tplc="13E2293A">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111514"/>
    <w:multiLevelType w:val="hybridMultilevel"/>
    <w:tmpl w:val="8EBE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766C4"/>
    <w:multiLevelType w:val="hybridMultilevel"/>
    <w:tmpl w:val="744E4B82"/>
    <w:lvl w:ilvl="0" w:tplc="68948A4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B2486D"/>
    <w:multiLevelType w:val="hybridMultilevel"/>
    <w:tmpl w:val="83F48856"/>
    <w:lvl w:ilvl="0" w:tplc="68948A4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634032"/>
    <w:multiLevelType w:val="hybridMultilevel"/>
    <w:tmpl w:val="0102F10C"/>
    <w:lvl w:ilvl="0" w:tplc="68948A4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835A3D"/>
    <w:multiLevelType w:val="hybridMultilevel"/>
    <w:tmpl w:val="303AA3E0"/>
    <w:lvl w:ilvl="0" w:tplc="86DC1FF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E7565B"/>
    <w:multiLevelType w:val="hybridMultilevel"/>
    <w:tmpl w:val="310AA900"/>
    <w:lvl w:ilvl="0" w:tplc="68948A4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8504203">
    <w:abstractNumId w:val="2"/>
  </w:num>
  <w:num w:numId="2" w16cid:durableId="1590888580">
    <w:abstractNumId w:val="6"/>
  </w:num>
  <w:num w:numId="3" w16cid:durableId="368803682">
    <w:abstractNumId w:val="4"/>
  </w:num>
  <w:num w:numId="4" w16cid:durableId="27067387">
    <w:abstractNumId w:val="1"/>
  </w:num>
  <w:num w:numId="5" w16cid:durableId="100877303">
    <w:abstractNumId w:val="3"/>
  </w:num>
  <w:num w:numId="6" w16cid:durableId="814183132">
    <w:abstractNumId w:val="0"/>
  </w:num>
  <w:num w:numId="7" w16cid:durableId="317150608">
    <w:abstractNumId w:val="7"/>
  </w:num>
  <w:num w:numId="8" w16cid:durableId="696470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88"/>
    <w:rsid w:val="00002082"/>
    <w:rsid w:val="000043C9"/>
    <w:rsid w:val="000057B0"/>
    <w:rsid w:val="00005D53"/>
    <w:rsid w:val="00006A15"/>
    <w:rsid w:val="000135FB"/>
    <w:rsid w:val="00031974"/>
    <w:rsid w:val="00044BB5"/>
    <w:rsid w:val="000468FD"/>
    <w:rsid w:val="0005280A"/>
    <w:rsid w:val="00057677"/>
    <w:rsid w:val="00060F88"/>
    <w:rsid w:val="00063461"/>
    <w:rsid w:val="000652C2"/>
    <w:rsid w:val="000849C6"/>
    <w:rsid w:val="000A0B22"/>
    <w:rsid w:val="000A0E85"/>
    <w:rsid w:val="000A5F36"/>
    <w:rsid w:val="000B0E26"/>
    <w:rsid w:val="000C6622"/>
    <w:rsid w:val="000D110B"/>
    <w:rsid w:val="000E130D"/>
    <w:rsid w:val="000E4EFC"/>
    <w:rsid w:val="000F012F"/>
    <w:rsid w:val="000F6352"/>
    <w:rsid w:val="00101A09"/>
    <w:rsid w:val="00101C19"/>
    <w:rsid w:val="00102A31"/>
    <w:rsid w:val="00116DBC"/>
    <w:rsid w:val="00125695"/>
    <w:rsid w:val="001338D5"/>
    <w:rsid w:val="001355E5"/>
    <w:rsid w:val="00136B08"/>
    <w:rsid w:val="00137E7E"/>
    <w:rsid w:val="001427A6"/>
    <w:rsid w:val="00145F07"/>
    <w:rsid w:val="001564AF"/>
    <w:rsid w:val="0016035E"/>
    <w:rsid w:val="001909CC"/>
    <w:rsid w:val="00190B6A"/>
    <w:rsid w:val="00194049"/>
    <w:rsid w:val="001940A8"/>
    <w:rsid w:val="00196D6F"/>
    <w:rsid w:val="001A4682"/>
    <w:rsid w:val="001B1556"/>
    <w:rsid w:val="001C74E0"/>
    <w:rsid w:val="001D02EC"/>
    <w:rsid w:val="0020031A"/>
    <w:rsid w:val="002245AA"/>
    <w:rsid w:val="0023663C"/>
    <w:rsid w:val="0025021D"/>
    <w:rsid w:val="00256EDD"/>
    <w:rsid w:val="002572F8"/>
    <w:rsid w:val="0025743D"/>
    <w:rsid w:val="00260D84"/>
    <w:rsid w:val="00266395"/>
    <w:rsid w:val="00267D51"/>
    <w:rsid w:val="00273026"/>
    <w:rsid w:val="002949A0"/>
    <w:rsid w:val="002A10D0"/>
    <w:rsid w:val="002A1EB0"/>
    <w:rsid w:val="002A4B5E"/>
    <w:rsid w:val="002A6B2A"/>
    <w:rsid w:val="002B0E32"/>
    <w:rsid w:val="002B39E7"/>
    <w:rsid w:val="002B6236"/>
    <w:rsid w:val="002C63F3"/>
    <w:rsid w:val="002E252E"/>
    <w:rsid w:val="002E69D9"/>
    <w:rsid w:val="002F3408"/>
    <w:rsid w:val="003049AA"/>
    <w:rsid w:val="00304BD5"/>
    <w:rsid w:val="003059AB"/>
    <w:rsid w:val="003162C1"/>
    <w:rsid w:val="00327060"/>
    <w:rsid w:val="00355F05"/>
    <w:rsid w:val="0036168C"/>
    <w:rsid w:val="003732E7"/>
    <w:rsid w:val="00382CAE"/>
    <w:rsid w:val="003A1BA3"/>
    <w:rsid w:val="003A6C61"/>
    <w:rsid w:val="003B0F0D"/>
    <w:rsid w:val="003B1071"/>
    <w:rsid w:val="003B39EE"/>
    <w:rsid w:val="003C01C3"/>
    <w:rsid w:val="003C6A8C"/>
    <w:rsid w:val="003D2014"/>
    <w:rsid w:val="003D4BF1"/>
    <w:rsid w:val="003E2BB9"/>
    <w:rsid w:val="003E3438"/>
    <w:rsid w:val="003E3C9B"/>
    <w:rsid w:val="003E564D"/>
    <w:rsid w:val="003F153F"/>
    <w:rsid w:val="00412CD4"/>
    <w:rsid w:val="00417135"/>
    <w:rsid w:val="00417660"/>
    <w:rsid w:val="004220A0"/>
    <w:rsid w:val="00440B09"/>
    <w:rsid w:val="00443369"/>
    <w:rsid w:val="00444AB8"/>
    <w:rsid w:val="00447DED"/>
    <w:rsid w:val="0045402F"/>
    <w:rsid w:val="00456F65"/>
    <w:rsid w:val="00460102"/>
    <w:rsid w:val="00466B28"/>
    <w:rsid w:val="00475415"/>
    <w:rsid w:val="0048391C"/>
    <w:rsid w:val="004903ED"/>
    <w:rsid w:val="004A5B69"/>
    <w:rsid w:val="004A73EB"/>
    <w:rsid w:val="004C1463"/>
    <w:rsid w:val="004C1634"/>
    <w:rsid w:val="004C672D"/>
    <w:rsid w:val="004D2E90"/>
    <w:rsid w:val="004E628C"/>
    <w:rsid w:val="004E79E1"/>
    <w:rsid w:val="0051147C"/>
    <w:rsid w:val="00514E28"/>
    <w:rsid w:val="00520EF3"/>
    <w:rsid w:val="005228C2"/>
    <w:rsid w:val="00533DC2"/>
    <w:rsid w:val="00534AF0"/>
    <w:rsid w:val="00536A3B"/>
    <w:rsid w:val="00541E9E"/>
    <w:rsid w:val="00542583"/>
    <w:rsid w:val="00551807"/>
    <w:rsid w:val="005521B6"/>
    <w:rsid w:val="00553ABF"/>
    <w:rsid w:val="00560171"/>
    <w:rsid w:val="00566260"/>
    <w:rsid w:val="00583570"/>
    <w:rsid w:val="00586E42"/>
    <w:rsid w:val="00594AEA"/>
    <w:rsid w:val="005C4D6C"/>
    <w:rsid w:val="005D3888"/>
    <w:rsid w:val="005D4DA5"/>
    <w:rsid w:val="005E4E26"/>
    <w:rsid w:val="005E7B0C"/>
    <w:rsid w:val="005F4FAE"/>
    <w:rsid w:val="005F5CFB"/>
    <w:rsid w:val="006014A4"/>
    <w:rsid w:val="0061734D"/>
    <w:rsid w:val="00620F7D"/>
    <w:rsid w:val="006218BC"/>
    <w:rsid w:val="00624642"/>
    <w:rsid w:val="00625B22"/>
    <w:rsid w:val="00630133"/>
    <w:rsid w:val="006350BE"/>
    <w:rsid w:val="00635C96"/>
    <w:rsid w:val="00636DF1"/>
    <w:rsid w:val="006441DA"/>
    <w:rsid w:val="00656315"/>
    <w:rsid w:val="00660BCF"/>
    <w:rsid w:val="00661301"/>
    <w:rsid w:val="00685F62"/>
    <w:rsid w:val="006A35B9"/>
    <w:rsid w:val="006A3B4D"/>
    <w:rsid w:val="006B2FD7"/>
    <w:rsid w:val="006C1C88"/>
    <w:rsid w:val="006C67B4"/>
    <w:rsid w:val="006D02DF"/>
    <w:rsid w:val="006D4510"/>
    <w:rsid w:val="006D4D60"/>
    <w:rsid w:val="006E133D"/>
    <w:rsid w:val="006E15C4"/>
    <w:rsid w:val="006E4EC7"/>
    <w:rsid w:val="006E7100"/>
    <w:rsid w:val="006F1C55"/>
    <w:rsid w:val="006F21B9"/>
    <w:rsid w:val="006F2747"/>
    <w:rsid w:val="0070392A"/>
    <w:rsid w:val="00714CD9"/>
    <w:rsid w:val="00726B5C"/>
    <w:rsid w:val="00726C2B"/>
    <w:rsid w:val="0073537E"/>
    <w:rsid w:val="007370A1"/>
    <w:rsid w:val="007374AB"/>
    <w:rsid w:val="0073772E"/>
    <w:rsid w:val="00751F2D"/>
    <w:rsid w:val="00755FCE"/>
    <w:rsid w:val="00763340"/>
    <w:rsid w:val="007642EF"/>
    <w:rsid w:val="0077325C"/>
    <w:rsid w:val="007761E0"/>
    <w:rsid w:val="00780690"/>
    <w:rsid w:val="007838D0"/>
    <w:rsid w:val="007872F1"/>
    <w:rsid w:val="007913AA"/>
    <w:rsid w:val="007B0516"/>
    <w:rsid w:val="007B44DB"/>
    <w:rsid w:val="007B60FE"/>
    <w:rsid w:val="007D0F12"/>
    <w:rsid w:val="007E095F"/>
    <w:rsid w:val="007E7A86"/>
    <w:rsid w:val="007F135E"/>
    <w:rsid w:val="0081089E"/>
    <w:rsid w:val="00842955"/>
    <w:rsid w:val="00846369"/>
    <w:rsid w:val="00850922"/>
    <w:rsid w:val="00861046"/>
    <w:rsid w:val="0086616F"/>
    <w:rsid w:val="00877C13"/>
    <w:rsid w:val="00883915"/>
    <w:rsid w:val="008845B7"/>
    <w:rsid w:val="008A6FF8"/>
    <w:rsid w:val="008B2CAB"/>
    <w:rsid w:val="008C0DE3"/>
    <w:rsid w:val="008E1927"/>
    <w:rsid w:val="008F218E"/>
    <w:rsid w:val="00901508"/>
    <w:rsid w:val="00903CBD"/>
    <w:rsid w:val="00927DB5"/>
    <w:rsid w:val="009311FD"/>
    <w:rsid w:val="0093550E"/>
    <w:rsid w:val="00973875"/>
    <w:rsid w:val="00986CA2"/>
    <w:rsid w:val="00992952"/>
    <w:rsid w:val="009948E1"/>
    <w:rsid w:val="009B14A6"/>
    <w:rsid w:val="009B7A76"/>
    <w:rsid w:val="009C55A7"/>
    <w:rsid w:val="009D2F7F"/>
    <w:rsid w:val="009D355A"/>
    <w:rsid w:val="009D5EFB"/>
    <w:rsid w:val="009D6144"/>
    <w:rsid w:val="009D7ED1"/>
    <w:rsid w:val="009E783C"/>
    <w:rsid w:val="00A003B4"/>
    <w:rsid w:val="00A00808"/>
    <w:rsid w:val="00A13719"/>
    <w:rsid w:val="00A14B52"/>
    <w:rsid w:val="00A15C3C"/>
    <w:rsid w:val="00A22C7A"/>
    <w:rsid w:val="00A26AF1"/>
    <w:rsid w:val="00A27BC7"/>
    <w:rsid w:val="00A30B6B"/>
    <w:rsid w:val="00A3111C"/>
    <w:rsid w:val="00A34A21"/>
    <w:rsid w:val="00A43A2B"/>
    <w:rsid w:val="00A52CA3"/>
    <w:rsid w:val="00A52CB7"/>
    <w:rsid w:val="00A54218"/>
    <w:rsid w:val="00A6054D"/>
    <w:rsid w:val="00A618AC"/>
    <w:rsid w:val="00A63671"/>
    <w:rsid w:val="00A738BA"/>
    <w:rsid w:val="00A76996"/>
    <w:rsid w:val="00A77A4C"/>
    <w:rsid w:val="00A849CC"/>
    <w:rsid w:val="00A8584F"/>
    <w:rsid w:val="00A90291"/>
    <w:rsid w:val="00A9619B"/>
    <w:rsid w:val="00A96688"/>
    <w:rsid w:val="00AA233A"/>
    <w:rsid w:val="00AA4272"/>
    <w:rsid w:val="00AB1515"/>
    <w:rsid w:val="00AB2101"/>
    <w:rsid w:val="00AB68A6"/>
    <w:rsid w:val="00AB7072"/>
    <w:rsid w:val="00AC1F93"/>
    <w:rsid w:val="00AC20C4"/>
    <w:rsid w:val="00AC42D5"/>
    <w:rsid w:val="00AE51E3"/>
    <w:rsid w:val="00AF0453"/>
    <w:rsid w:val="00B1015D"/>
    <w:rsid w:val="00B2089D"/>
    <w:rsid w:val="00B226E7"/>
    <w:rsid w:val="00B45D82"/>
    <w:rsid w:val="00B54847"/>
    <w:rsid w:val="00B6060A"/>
    <w:rsid w:val="00B70A52"/>
    <w:rsid w:val="00B74153"/>
    <w:rsid w:val="00B7592A"/>
    <w:rsid w:val="00B767EE"/>
    <w:rsid w:val="00B778CC"/>
    <w:rsid w:val="00B80C65"/>
    <w:rsid w:val="00B96038"/>
    <w:rsid w:val="00BA4B45"/>
    <w:rsid w:val="00BB1295"/>
    <w:rsid w:val="00BB603E"/>
    <w:rsid w:val="00BD62E1"/>
    <w:rsid w:val="00BE0C16"/>
    <w:rsid w:val="00BF1E76"/>
    <w:rsid w:val="00BF3380"/>
    <w:rsid w:val="00BF345D"/>
    <w:rsid w:val="00C00477"/>
    <w:rsid w:val="00C115CA"/>
    <w:rsid w:val="00C14802"/>
    <w:rsid w:val="00C209DE"/>
    <w:rsid w:val="00C351C6"/>
    <w:rsid w:val="00C4514F"/>
    <w:rsid w:val="00C4535F"/>
    <w:rsid w:val="00C50677"/>
    <w:rsid w:val="00C650B1"/>
    <w:rsid w:val="00C71F6E"/>
    <w:rsid w:val="00C74354"/>
    <w:rsid w:val="00C75F1D"/>
    <w:rsid w:val="00CA2202"/>
    <w:rsid w:val="00CA6D1A"/>
    <w:rsid w:val="00CC175E"/>
    <w:rsid w:val="00CC3676"/>
    <w:rsid w:val="00CD0221"/>
    <w:rsid w:val="00CD289B"/>
    <w:rsid w:val="00CD3AF0"/>
    <w:rsid w:val="00CE0719"/>
    <w:rsid w:val="00CF2C19"/>
    <w:rsid w:val="00D03616"/>
    <w:rsid w:val="00D3146F"/>
    <w:rsid w:val="00D355D6"/>
    <w:rsid w:val="00D44101"/>
    <w:rsid w:val="00D55379"/>
    <w:rsid w:val="00D5653B"/>
    <w:rsid w:val="00D6130A"/>
    <w:rsid w:val="00D649C2"/>
    <w:rsid w:val="00D73762"/>
    <w:rsid w:val="00D7390D"/>
    <w:rsid w:val="00D74A2E"/>
    <w:rsid w:val="00D844DE"/>
    <w:rsid w:val="00D85236"/>
    <w:rsid w:val="00D857BA"/>
    <w:rsid w:val="00D874EE"/>
    <w:rsid w:val="00D87965"/>
    <w:rsid w:val="00DA6EDD"/>
    <w:rsid w:val="00DA7E06"/>
    <w:rsid w:val="00DB1665"/>
    <w:rsid w:val="00DB719B"/>
    <w:rsid w:val="00DC37D8"/>
    <w:rsid w:val="00DC718E"/>
    <w:rsid w:val="00DE05F4"/>
    <w:rsid w:val="00DE64AB"/>
    <w:rsid w:val="00E22D21"/>
    <w:rsid w:val="00E264DB"/>
    <w:rsid w:val="00E27440"/>
    <w:rsid w:val="00E345CF"/>
    <w:rsid w:val="00E43ECC"/>
    <w:rsid w:val="00E448F7"/>
    <w:rsid w:val="00E4529E"/>
    <w:rsid w:val="00E537BD"/>
    <w:rsid w:val="00E61F27"/>
    <w:rsid w:val="00E6663E"/>
    <w:rsid w:val="00E77646"/>
    <w:rsid w:val="00E80D17"/>
    <w:rsid w:val="00E852D1"/>
    <w:rsid w:val="00E87C5C"/>
    <w:rsid w:val="00EA1B3A"/>
    <w:rsid w:val="00EA343E"/>
    <w:rsid w:val="00EA700A"/>
    <w:rsid w:val="00EB6425"/>
    <w:rsid w:val="00EC6101"/>
    <w:rsid w:val="00ED119C"/>
    <w:rsid w:val="00ED4EE8"/>
    <w:rsid w:val="00EF066C"/>
    <w:rsid w:val="00F00B39"/>
    <w:rsid w:val="00F031D3"/>
    <w:rsid w:val="00F037F4"/>
    <w:rsid w:val="00F04865"/>
    <w:rsid w:val="00F146EB"/>
    <w:rsid w:val="00F14879"/>
    <w:rsid w:val="00F6563C"/>
    <w:rsid w:val="00F73FFC"/>
    <w:rsid w:val="00F74EC1"/>
    <w:rsid w:val="00F76EBF"/>
    <w:rsid w:val="00F8092B"/>
    <w:rsid w:val="00F8285B"/>
    <w:rsid w:val="00F82F6F"/>
    <w:rsid w:val="00F86954"/>
    <w:rsid w:val="00F905B2"/>
    <w:rsid w:val="00F96D6E"/>
    <w:rsid w:val="00FA1AA3"/>
    <w:rsid w:val="00FA43C2"/>
    <w:rsid w:val="00FB0D71"/>
    <w:rsid w:val="00FB5086"/>
    <w:rsid w:val="00FC0E0B"/>
    <w:rsid w:val="00FC6E15"/>
    <w:rsid w:val="00FD1D29"/>
    <w:rsid w:val="00FD3FF6"/>
    <w:rsid w:val="00FE1B91"/>
    <w:rsid w:val="00FE7F60"/>
    <w:rsid w:val="00FF0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290232"/>
  <w15:docId w15:val="{7A8D4094-E9FA-422B-BAC3-B65E86F3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F6"/>
    <w:pPr>
      <w:widowControl w:val="0"/>
      <w:suppressAutoHyphens/>
      <w:spacing w:after="0" w:line="240" w:lineRule="auto"/>
    </w:pPr>
    <w:rPr>
      <w:rFonts w:ascii="Times New Roman" w:eastAsia="SimSun" w:hAnsi="Times New Roman" w:cs="Arial"/>
      <w:kern w:val="1"/>
      <w:sz w:val="24"/>
      <w:szCs w:val="24"/>
      <w:lang w:val="de-DE"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0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0F88"/>
    <w:pPr>
      <w:widowControl/>
      <w:tabs>
        <w:tab w:val="center" w:pos="4703"/>
        <w:tab w:val="right" w:pos="9406"/>
      </w:tabs>
      <w:suppressAutoHyphens w:val="0"/>
    </w:pPr>
    <w:rPr>
      <w:rFonts w:asciiTheme="minorHAnsi" w:eastAsiaTheme="minorHAnsi" w:hAnsiTheme="minorHAnsi" w:cstheme="minorBidi"/>
      <w:kern w:val="0"/>
      <w:sz w:val="22"/>
      <w:szCs w:val="22"/>
      <w:lang w:val="en-US" w:eastAsia="en-US" w:bidi="ar-SA"/>
    </w:rPr>
  </w:style>
  <w:style w:type="character" w:customStyle="1" w:styleId="HeaderChar">
    <w:name w:val="Header Char"/>
    <w:basedOn w:val="DefaultParagraphFont"/>
    <w:link w:val="Header"/>
    <w:uiPriority w:val="99"/>
    <w:rsid w:val="00060F88"/>
  </w:style>
  <w:style w:type="paragraph" w:styleId="Footer">
    <w:name w:val="footer"/>
    <w:basedOn w:val="Normal"/>
    <w:link w:val="FooterChar"/>
    <w:uiPriority w:val="99"/>
    <w:unhideWhenUsed/>
    <w:rsid w:val="00060F88"/>
    <w:pPr>
      <w:widowControl/>
      <w:tabs>
        <w:tab w:val="center" w:pos="4703"/>
        <w:tab w:val="right" w:pos="9406"/>
      </w:tabs>
      <w:suppressAutoHyphens w:val="0"/>
    </w:pPr>
    <w:rPr>
      <w:rFonts w:asciiTheme="minorHAnsi" w:eastAsiaTheme="minorHAnsi" w:hAnsiTheme="minorHAnsi" w:cstheme="minorBidi"/>
      <w:kern w:val="0"/>
      <w:sz w:val="22"/>
      <w:szCs w:val="22"/>
      <w:lang w:val="en-US" w:eastAsia="en-US" w:bidi="ar-SA"/>
    </w:rPr>
  </w:style>
  <w:style w:type="character" w:customStyle="1" w:styleId="FooterChar">
    <w:name w:val="Footer Char"/>
    <w:basedOn w:val="DefaultParagraphFont"/>
    <w:link w:val="Footer"/>
    <w:uiPriority w:val="99"/>
    <w:rsid w:val="00060F88"/>
  </w:style>
  <w:style w:type="paragraph" w:styleId="BalloonText">
    <w:name w:val="Balloon Text"/>
    <w:basedOn w:val="Normal"/>
    <w:link w:val="BalloonTextChar"/>
    <w:uiPriority w:val="99"/>
    <w:semiHidden/>
    <w:unhideWhenUsed/>
    <w:rsid w:val="00060F88"/>
    <w:pPr>
      <w:widowControl/>
      <w:suppressAutoHyphens w:val="0"/>
    </w:pPr>
    <w:rPr>
      <w:rFonts w:ascii="Tahoma" w:eastAsiaTheme="minorHAnsi" w:hAnsi="Tahoma" w:cs="Tahoma"/>
      <w:kern w:val="0"/>
      <w:sz w:val="16"/>
      <w:szCs w:val="16"/>
      <w:lang w:val="en-US" w:eastAsia="en-US" w:bidi="ar-SA"/>
    </w:rPr>
  </w:style>
  <w:style w:type="character" w:customStyle="1" w:styleId="BalloonTextChar">
    <w:name w:val="Balloon Text Char"/>
    <w:basedOn w:val="DefaultParagraphFont"/>
    <w:link w:val="BalloonText"/>
    <w:uiPriority w:val="99"/>
    <w:semiHidden/>
    <w:rsid w:val="00060F88"/>
    <w:rPr>
      <w:rFonts w:ascii="Tahoma" w:hAnsi="Tahoma" w:cs="Tahoma"/>
      <w:sz w:val="16"/>
      <w:szCs w:val="16"/>
    </w:rPr>
  </w:style>
  <w:style w:type="character" w:customStyle="1" w:styleId="street-div">
    <w:name w:val="street-div"/>
    <w:basedOn w:val="DefaultParagraphFont"/>
    <w:rsid w:val="00B54847"/>
  </w:style>
  <w:style w:type="character" w:customStyle="1" w:styleId="postal-code">
    <w:name w:val="postal-code"/>
    <w:basedOn w:val="DefaultParagraphFont"/>
    <w:rsid w:val="00B54847"/>
  </w:style>
  <w:style w:type="character" w:customStyle="1" w:styleId="apple-converted-space">
    <w:name w:val="apple-converted-space"/>
    <w:basedOn w:val="DefaultParagraphFont"/>
    <w:rsid w:val="00B54847"/>
  </w:style>
  <w:style w:type="character" w:customStyle="1" w:styleId="locality">
    <w:name w:val="locality"/>
    <w:basedOn w:val="DefaultParagraphFont"/>
    <w:rsid w:val="00B54847"/>
  </w:style>
  <w:style w:type="character" w:styleId="Strong">
    <w:name w:val="Strong"/>
    <w:basedOn w:val="DefaultParagraphFont"/>
    <w:uiPriority w:val="22"/>
    <w:qFormat/>
    <w:rsid w:val="003B39EE"/>
    <w:rPr>
      <w:b/>
      <w:bCs/>
    </w:rPr>
  </w:style>
  <w:style w:type="character" w:styleId="PlaceholderText">
    <w:name w:val="Placeholder Text"/>
    <w:basedOn w:val="DefaultParagraphFont"/>
    <w:uiPriority w:val="99"/>
    <w:semiHidden/>
    <w:rsid w:val="003C01C3"/>
    <w:rPr>
      <w:color w:val="808080"/>
    </w:rPr>
  </w:style>
  <w:style w:type="character" w:styleId="Hyperlink">
    <w:name w:val="Hyperlink"/>
    <w:basedOn w:val="DefaultParagraphFont"/>
    <w:uiPriority w:val="99"/>
    <w:unhideWhenUsed/>
    <w:rsid w:val="00A14B52"/>
    <w:rPr>
      <w:color w:val="0000FF" w:themeColor="hyperlink"/>
      <w:u w:val="single"/>
    </w:rPr>
  </w:style>
  <w:style w:type="paragraph" w:styleId="ListParagraph">
    <w:name w:val="List Paragraph"/>
    <w:basedOn w:val="Normal"/>
    <w:uiPriority w:val="34"/>
    <w:qFormat/>
    <w:rsid w:val="006441DA"/>
    <w:pPr>
      <w:widowControl/>
      <w:suppressAutoHyphens w:val="0"/>
      <w:spacing w:after="200" w:line="276" w:lineRule="auto"/>
      <w:ind w:left="720"/>
      <w:contextualSpacing/>
    </w:pPr>
    <w:rPr>
      <w:rFonts w:asciiTheme="minorHAnsi" w:eastAsiaTheme="minorHAnsi" w:hAnsiTheme="minorHAnsi" w:cstheme="minorBidi"/>
      <w:kern w:val="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g@empacta.org" TargetMode="External"/><Relationship Id="rId1" Type="http://schemas.openxmlformats.org/officeDocument/2006/relationships/hyperlink" Target="http://www.empact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Fabel</dc:creator>
  <cp:lastModifiedBy>David Wortham</cp:lastModifiedBy>
  <cp:revision>3</cp:revision>
  <cp:lastPrinted>2017-09-20T14:18:00Z</cp:lastPrinted>
  <dcterms:created xsi:type="dcterms:W3CDTF">2023-03-31T08:56:00Z</dcterms:created>
  <dcterms:modified xsi:type="dcterms:W3CDTF">2023-03-31T09:00:00Z</dcterms:modified>
</cp:coreProperties>
</file>