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1"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2"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3"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4"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1D872D42" w14:textId="50E382B5" w:rsidR="003755E7" w:rsidRDefault="000C4E37" w:rsidP="00471A6D">
      <w:pPr>
        <w:rPr>
          <w:rFonts w:ascii="Open Sans" w:hAnsi="Open Sans" w:cs="Open Sans"/>
          <w:b/>
          <w:bCs/>
          <w:sz w:val="20"/>
          <w:szCs w:val="20"/>
        </w:rPr>
      </w:pPr>
      <w:r>
        <w:rPr>
          <w:rFonts w:ascii="Open Sans" w:hAnsi="Open Sans" w:cs="Open Sans"/>
          <w:b/>
          <w:bCs/>
          <w:sz w:val="20"/>
          <w:szCs w:val="20"/>
        </w:rPr>
        <w:br w:type="page"/>
      </w:r>
      <w:r w:rsidR="00471A6D">
        <w:rPr>
          <w:rFonts w:ascii="Open Sans" w:hAnsi="Open Sans" w:cs="Open Sans"/>
          <w:b/>
          <w:bCs/>
          <w:sz w:val="20"/>
          <w:szCs w:val="20"/>
        </w:rPr>
        <w:lastRenderedPageBreak/>
        <w:t xml:space="preserve"> </w:t>
      </w: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5"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F2C581F" w14:textId="47995327" w:rsidR="00EA6E81" w:rsidRDefault="00EA6E81">
      <w:pPr>
        <w:rPr>
          <w:rFonts w:ascii="Open Sans" w:hAnsi="Open Sans" w:cs="Open Sans"/>
          <w:b/>
          <w:bCs/>
          <w:sz w:val="20"/>
          <w:szCs w:val="20"/>
        </w:rPr>
      </w:pPr>
      <w:r>
        <w:rPr>
          <w:rFonts w:ascii="Open Sans" w:hAnsi="Open Sans" w:cs="Open Sans"/>
          <w:b/>
          <w:bCs/>
          <w:sz w:val="20"/>
          <w:szCs w:val="20"/>
        </w:rPr>
        <w:lastRenderedPageBreak/>
        <w:t>General Comments:</w:t>
      </w:r>
    </w:p>
    <w:p w14:paraId="40B61E31" w14:textId="25B10848" w:rsidR="00EA6E81" w:rsidRDefault="00EA6E81">
      <w:pPr>
        <w:rPr>
          <w:rFonts w:ascii="Open Sans" w:hAnsi="Open Sans" w:cs="Open Sans"/>
          <w:b/>
          <w:bCs/>
          <w:sz w:val="20"/>
          <w:szCs w:val="20"/>
        </w:rPr>
      </w:pPr>
    </w:p>
    <w:p w14:paraId="12820728" w14:textId="77777777" w:rsidR="00EA6E81" w:rsidRDefault="00EA6E81">
      <w:pPr>
        <w:rPr>
          <w:rFonts w:ascii="Open Sans" w:hAnsi="Open Sans" w:cs="Open Sans"/>
          <w:b/>
          <w:bCs/>
          <w:sz w:val="20"/>
          <w:szCs w:val="20"/>
        </w:rPr>
      </w:pPr>
      <w:r>
        <w:rPr>
          <w:rFonts w:ascii="Open Sans" w:hAnsi="Open Sans" w:cs="Open Sans"/>
          <w:b/>
          <w:bCs/>
          <w:sz w:val="20"/>
          <w:szCs w:val="20"/>
        </w:rPr>
        <w:t xml:space="preserve">Comments: </w:t>
      </w:r>
    </w:p>
    <w:p w14:paraId="13977AC4" w14:textId="222553C5" w:rsidR="00EA6E81" w:rsidRPr="00EA6E81" w:rsidRDefault="00EA6E81">
      <w:pPr>
        <w:rPr>
          <w:rFonts w:ascii="Open Sans" w:hAnsi="Open Sans" w:cs="Open Sans"/>
          <w:sz w:val="20"/>
          <w:szCs w:val="20"/>
        </w:rPr>
      </w:pPr>
      <w:r w:rsidRPr="00EA6E81">
        <w:rPr>
          <w:rFonts w:ascii="Open Sans" w:hAnsi="Open Sans" w:cs="Open Sans"/>
          <w:sz w:val="20"/>
          <w:szCs w:val="20"/>
        </w:rPr>
        <w:t>1)  Overall</w:t>
      </w:r>
      <w:r>
        <w:rPr>
          <w:rFonts w:ascii="Open Sans" w:hAnsi="Open Sans" w:cs="Open Sans"/>
          <w:sz w:val="20"/>
          <w:szCs w:val="20"/>
        </w:rPr>
        <w:t>,</w:t>
      </w:r>
      <w:r w:rsidRPr="00EA6E81">
        <w:rPr>
          <w:rFonts w:ascii="Open Sans" w:hAnsi="Open Sans" w:cs="Open Sans"/>
          <w:sz w:val="20"/>
          <w:szCs w:val="20"/>
        </w:rPr>
        <w:t xml:space="preserve"> the document is well prepared and (considering the traditional lack of accounting guidance for Non-Profit Organisations- NPOs-) it is a big step in the right direction for enhancing transparency, accountability and decision making, without overcomplicating the adoption of these standards. Nevertheless, clearly there is an important trade-off between simplification and missing some elements that could be relevant for the purposes of the INPAG.  Thus, I believe some additional guidance in a few areas a could help to enhance the impact of these guidance.</w:t>
      </w:r>
    </w:p>
    <w:p w14:paraId="641FC770" w14:textId="7051D535" w:rsidR="00EA6E81" w:rsidRPr="00EA6E81" w:rsidRDefault="00EA6E81" w:rsidP="00EA6E81">
      <w:pPr>
        <w:rPr>
          <w:rFonts w:ascii="Open Sans" w:hAnsi="Open Sans" w:cs="Open Sans"/>
          <w:sz w:val="20"/>
          <w:szCs w:val="20"/>
        </w:rPr>
      </w:pPr>
      <w:r w:rsidRPr="00EA6E81">
        <w:rPr>
          <w:rFonts w:ascii="Open Sans" w:hAnsi="Open Sans" w:cs="Open Sans"/>
          <w:sz w:val="20"/>
          <w:szCs w:val="20"/>
        </w:rPr>
        <w:t xml:space="preserve">2) </w:t>
      </w:r>
      <w:r>
        <w:rPr>
          <w:rFonts w:ascii="Open Sans" w:hAnsi="Open Sans" w:cs="Open Sans"/>
          <w:sz w:val="20"/>
          <w:szCs w:val="20"/>
        </w:rPr>
        <w:t xml:space="preserve">There is a </w:t>
      </w:r>
      <w:r w:rsidRPr="00EA6E81">
        <w:rPr>
          <w:rFonts w:ascii="Open Sans" w:hAnsi="Open Sans" w:cs="Open Sans"/>
          <w:sz w:val="20"/>
          <w:szCs w:val="20"/>
        </w:rPr>
        <w:t xml:space="preserve">concern regarding the proposed framework is the fact that there are already several different accounting and financial reporting frameworks that are readily available, including IFRS, IFRS for SME, cash and accrual basis IPSAS. According to the Exposure Draft (ED) in question, three out of four mentioned frameworks were actually used for development of the proposed International Non-Profit Accounting Guidance (INPAG). </w:t>
      </w:r>
    </w:p>
    <w:p w14:paraId="69CEA32F" w14:textId="30FDC4E3" w:rsidR="00EA6E81" w:rsidRPr="00EA6E81" w:rsidRDefault="00EA6E81" w:rsidP="00EA6E81">
      <w:pPr>
        <w:rPr>
          <w:rFonts w:ascii="Open Sans" w:hAnsi="Open Sans" w:cs="Open Sans"/>
          <w:sz w:val="20"/>
          <w:szCs w:val="20"/>
        </w:rPr>
      </w:pPr>
      <w:r w:rsidRPr="00EA6E81">
        <w:rPr>
          <w:rFonts w:ascii="Open Sans" w:hAnsi="Open Sans" w:cs="Open Sans"/>
          <w:sz w:val="20"/>
          <w:szCs w:val="20"/>
        </w:rPr>
        <w:t xml:space="preserve">So, </w:t>
      </w:r>
      <w:r>
        <w:rPr>
          <w:rFonts w:ascii="Open Sans" w:hAnsi="Open Sans" w:cs="Open Sans"/>
          <w:sz w:val="20"/>
          <w:szCs w:val="20"/>
        </w:rPr>
        <w:t xml:space="preserve">the following </w:t>
      </w:r>
      <w:r w:rsidRPr="00EA6E81">
        <w:rPr>
          <w:rFonts w:ascii="Open Sans" w:hAnsi="Open Sans" w:cs="Open Sans"/>
          <w:sz w:val="20"/>
          <w:szCs w:val="20"/>
        </w:rPr>
        <w:t>questions are</w:t>
      </w:r>
      <w:r>
        <w:rPr>
          <w:rFonts w:ascii="Open Sans" w:hAnsi="Open Sans" w:cs="Open Sans"/>
          <w:sz w:val="20"/>
          <w:szCs w:val="20"/>
        </w:rPr>
        <w:t xml:space="preserve"> raised</w:t>
      </w:r>
      <w:r w:rsidRPr="00EA6E81">
        <w:rPr>
          <w:rFonts w:ascii="Open Sans" w:hAnsi="Open Sans" w:cs="Open Sans"/>
          <w:sz w:val="20"/>
          <w:szCs w:val="20"/>
        </w:rPr>
        <w:t>:</w:t>
      </w:r>
    </w:p>
    <w:p w14:paraId="375727AE" w14:textId="77777777" w:rsidR="00EA6E81" w:rsidRPr="00EA6E81" w:rsidRDefault="00EA6E81" w:rsidP="00EA6E81">
      <w:pPr>
        <w:rPr>
          <w:rFonts w:ascii="Open Sans" w:hAnsi="Open Sans" w:cs="Open Sans"/>
          <w:sz w:val="20"/>
          <w:szCs w:val="20"/>
        </w:rPr>
      </w:pPr>
      <w:r w:rsidRPr="00EA6E81">
        <w:rPr>
          <w:rFonts w:ascii="Open Sans" w:hAnsi="Open Sans" w:cs="Open Sans"/>
          <w:sz w:val="20"/>
          <w:szCs w:val="20"/>
        </w:rPr>
        <w:t>1.</w:t>
      </w:r>
      <w:r w:rsidRPr="00EA6E81">
        <w:rPr>
          <w:rFonts w:ascii="Open Sans" w:hAnsi="Open Sans" w:cs="Open Sans"/>
          <w:sz w:val="20"/>
          <w:szCs w:val="20"/>
        </w:rPr>
        <w:tab/>
        <w:t xml:space="preserve">Do we need another set of accounting/reporting standards that, in turn, will need to be further developed, periodically revised, and kept updated? </w:t>
      </w:r>
    </w:p>
    <w:p w14:paraId="2599FD61" w14:textId="77777777" w:rsidR="00EA6E81" w:rsidRPr="00EA6E81" w:rsidRDefault="00EA6E81" w:rsidP="00EA6E81">
      <w:pPr>
        <w:rPr>
          <w:rFonts w:ascii="Open Sans" w:hAnsi="Open Sans" w:cs="Open Sans"/>
          <w:sz w:val="20"/>
          <w:szCs w:val="20"/>
        </w:rPr>
      </w:pPr>
      <w:r w:rsidRPr="00EA6E81">
        <w:rPr>
          <w:rFonts w:ascii="Open Sans" w:hAnsi="Open Sans" w:cs="Open Sans"/>
          <w:sz w:val="20"/>
          <w:szCs w:val="20"/>
        </w:rPr>
        <w:t>2.</w:t>
      </w:r>
      <w:r w:rsidRPr="00EA6E81">
        <w:rPr>
          <w:rFonts w:ascii="Open Sans" w:hAnsi="Open Sans" w:cs="Open Sans"/>
          <w:sz w:val="20"/>
          <w:szCs w:val="20"/>
        </w:rPr>
        <w:tab/>
        <w:t xml:space="preserve">Is it feasible for those Non-profit Organizations (NPOs) that are in need of using generally accepted accounting principles to adopt one of the already existing frameworks? </w:t>
      </w:r>
    </w:p>
    <w:p w14:paraId="5B43ACF3" w14:textId="139D4C2C" w:rsidR="00EA6E81" w:rsidRPr="00EA6E81" w:rsidRDefault="00EA6E81" w:rsidP="00EA6E81">
      <w:pPr>
        <w:rPr>
          <w:rFonts w:ascii="Open Sans" w:hAnsi="Open Sans" w:cs="Open Sans"/>
          <w:sz w:val="20"/>
          <w:szCs w:val="20"/>
        </w:rPr>
      </w:pPr>
      <w:r w:rsidRPr="00EA6E81">
        <w:rPr>
          <w:rFonts w:ascii="Open Sans" w:hAnsi="Open Sans" w:cs="Open Sans"/>
          <w:sz w:val="20"/>
          <w:szCs w:val="20"/>
        </w:rPr>
        <w:t xml:space="preserve">Taking as a reference point one of the figures (available on page 9) of the ED, it could make more sense for those NPOs, using cash based accounting, to take as a starting point cash basis IPSAS; while those NPO, that are not required to use the full IFRS or equivalent framework, could </w:t>
      </w:r>
      <w:proofErr w:type="spellStart"/>
      <w:r w:rsidRPr="00EA6E81">
        <w:rPr>
          <w:rFonts w:ascii="Open Sans" w:hAnsi="Open Sans" w:cs="Open Sans"/>
          <w:sz w:val="20"/>
          <w:szCs w:val="20"/>
        </w:rPr>
        <w:t>chose</w:t>
      </w:r>
      <w:proofErr w:type="spellEnd"/>
      <w:r w:rsidRPr="00EA6E81">
        <w:rPr>
          <w:rFonts w:ascii="Open Sans" w:hAnsi="Open Sans" w:cs="Open Sans"/>
          <w:sz w:val="20"/>
          <w:szCs w:val="20"/>
        </w:rPr>
        <w:t xml:space="preserve"> either between IFRS for SME or accrual basis IPSAS.</w:t>
      </w:r>
      <w:r>
        <w:rPr>
          <w:rFonts w:ascii="Open Sans" w:hAnsi="Open Sans" w:cs="Open Sans"/>
          <w:sz w:val="20"/>
          <w:szCs w:val="20"/>
        </w:rPr>
        <w:t xml:space="preserve"> </w:t>
      </w:r>
      <w:r w:rsidRPr="00EA6E81">
        <w:rPr>
          <w:rFonts w:ascii="Open Sans" w:hAnsi="Open Sans" w:cs="Open Sans"/>
          <w:sz w:val="20"/>
          <w:szCs w:val="20"/>
        </w:rPr>
        <w:t xml:space="preserve">Using already existing accounting framework by NPO would also promote further consistency and comparability between accounting practices and financial reports worldwide, while avoiding spending additional efforts and resources on a new initiative. </w:t>
      </w:r>
    </w:p>
    <w:p w14:paraId="4E4EBA59" w14:textId="77777777" w:rsidR="00EA6E81" w:rsidRPr="00EA6E81" w:rsidRDefault="00EA6E81" w:rsidP="00EA6E81">
      <w:pPr>
        <w:rPr>
          <w:rFonts w:ascii="Open Sans" w:hAnsi="Open Sans" w:cs="Open Sans"/>
          <w:sz w:val="20"/>
          <w:szCs w:val="20"/>
        </w:rPr>
      </w:pPr>
    </w:p>
    <w:p w14:paraId="4FBD19BC" w14:textId="0C3550A5" w:rsidR="00EA6E81" w:rsidRDefault="00EA6E81" w:rsidP="00EA6E81">
      <w:pPr>
        <w:rPr>
          <w:rFonts w:ascii="Open Sans" w:hAnsi="Open Sans" w:cs="Open Sans"/>
          <w:sz w:val="20"/>
          <w:szCs w:val="20"/>
        </w:rPr>
      </w:pPr>
      <w:r w:rsidRPr="00EA6E81">
        <w:rPr>
          <w:rFonts w:ascii="Open Sans" w:hAnsi="Open Sans" w:cs="Open Sans"/>
          <w:sz w:val="20"/>
          <w:szCs w:val="20"/>
        </w:rPr>
        <w:t xml:space="preserve">In case of existence of any </w:t>
      </w:r>
      <w:proofErr w:type="spellStart"/>
      <w:r w:rsidRPr="00EA6E81">
        <w:rPr>
          <w:rFonts w:ascii="Open Sans" w:hAnsi="Open Sans" w:cs="Open Sans"/>
          <w:sz w:val="20"/>
          <w:szCs w:val="20"/>
        </w:rPr>
        <w:t>particularconceptual</w:t>
      </w:r>
      <w:proofErr w:type="spellEnd"/>
      <w:r w:rsidRPr="00EA6E81">
        <w:rPr>
          <w:rFonts w:ascii="Open Sans" w:hAnsi="Open Sans" w:cs="Open Sans"/>
          <w:sz w:val="20"/>
          <w:szCs w:val="20"/>
        </w:rPr>
        <w:t xml:space="preserve"> or practical discrepancies between NPOs’ needs in terms of accounting and financial reporting, IFR4NPO Donor Reference Group could conduct series of consultations with IASB and IPSASB to find the best way of addressing these particular issues in the existing frameworks.</w:t>
      </w:r>
    </w:p>
    <w:p w14:paraId="74636FC7" w14:textId="7230CF81" w:rsidR="00EA6E81" w:rsidRDefault="00EA6E81" w:rsidP="00EA6E81">
      <w:pPr>
        <w:rPr>
          <w:rFonts w:ascii="Open Sans" w:hAnsi="Open Sans" w:cs="Open Sans"/>
          <w:sz w:val="20"/>
          <w:szCs w:val="20"/>
        </w:rPr>
      </w:pPr>
      <w:r>
        <w:rPr>
          <w:rFonts w:ascii="Open Sans" w:hAnsi="Open Sans" w:cs="Open Sans"/>
          <w:sz w:val="20"/>
          <w:szCs w:val="20"/>
        </w:rPr>
        <w:t xml:space="preserve">3) </w:t>
      </w:r>
      <w:r w:rsidRPr="00EA6E81">
        <w:rPr>
          <w:rFonts w:ascii="Open Sans" w:hAnsi="Open Sans" w:cs="Open Sans"/>
          <w:sz w:val="20"/>
          <w:szCs w:val="20"/>
        </w:rPr>
        <w:t xml:space="preserve">I find the Non-Profit Accounting Guidance, Exposure Draft 1 very comprehensive and well-articulated.  </w:t>
      </w:r>
    </w:p>
    <w:p w14:paraId="0301CC21" w14:textId="1654097A" w:rsidR="00EA6E81" w:rsidRPr="00EA6E81" w:rsidRDefault="00EA6E81" w:rsidP="00EA6E81">
      <w:pPr>
        <w:rPr>
          <w:rFonts w:ascii="Open Sans" w:hAnsi="Open Sans" w:cs="Open Sans"/>
          <w:b/>
          <w:bCs/>
          <w:sz w:val="20"/>
          <w:szCs w:val="20"/>
        </w:rPr>
      </w:pPr>
      <w:r w:rsidRPr="00EA6E81">
        <w:rPr>
          <w:rFonts w:ascii="Open Sans" w:hAnsi="Open Sans" w:cs="Open Sans"/>
          <w:b/>
          <w:bCs/>
          <w:sz w:val="20"/>
          <w:szCs w:val="20"/>
        </w:rPr>
        <w:t>Particular Comments:</w:t>
      </w:r>
    </w:p>
    <w:p w14:paraId="5C2BB2C1" w14:textId="24F94A90" w:rsidR="00EA6E81" w:rsidRPr="00B45C4D" w:rsidRDefault="00EA6E81" w:rsidP="00EA6E81">
      <w:pPr>
        <w:pStyle w:val="ListParagraph"/>
        <w:numPr>
          <w:ilvl w:val="0"/>
          <w:numId w:val="18"/>
        </w:numPr>
        <w:rPr>
          <w:rFonts w:ascii="Open Sans" w:hAnsi="Open Sans" w:cs="Open Sans"/>
          <w:sz w:val="20"/>
          <w:szCs w:val="20"/>
        </w:rPr>
      </w:pPr>
      <w:r w:rsidRPr="00B45C4D">
        <w:rPr>
          <w:rFonts w:ascii="Open Sans" w:hAnsi="Open Sans" w:cs="Open Sans"/>
          <w:b/>
          <w:bCs/>
          <w:sz w:val="20"/>
          <w:szCs w:val="20"/>
        </w:rPr>
        <w:t>1. Which NPOs are expected to use INPAG?</w:t>
      </w:r>
    </w:p>
    <w:p w14:paraId="137579EC" w14:textId="77777777" w:rsidR="00EA6E81" w:rsidRPr="00EA6E81" w:rsidRDefault="00EA6E81" w:rsidP="00EA6E81">
      <w:pPr>
        <w:ind w:left="360"/>
        <w:rPr>
          <w:rFonts w:ascii="Open Sans" w:hAnsi="Open Sans" w:cs="Open Sans"/>
          <w:b/>
          <w:bCs/>
          <w:sz w:val="20"/>
          <w:szCs w:val="20"/>
        </w:rPr>
      </w:pPr>
      <w:r w:rsidRPr="00EA6E81">
        <w:rPr>
          <w:rFonts w:ascii="Open Sans" w:hAnsi="Open Sans" w:cs="Open Sans"/>
          <w:b/>
          <w:bCs/>
          <w:sz w:val="20"/>
          <w:szCs w:val="20"/>
        </w:rPr>
        <w:t>Do you think it is clear which NPOs are intended to benefit from the use of INPAG? (Question 2b)</w:t>
      </w:r>
    </w:p>
    <w:p w14:paraId="66519AE8" w14:textId="77777777" w:rsidR="00EA6E81" w:rsidRPr="00EA6E81" w:rsidRDefault="00EA6E81" w:rsidP="00EA6E81">
      <w:pPr>
        <w:ind w:left="360"/>
        <w:rPr>
          <w:rFonts w:ascii="Open Sans" w:hAnsi="Open Sans" w:cs="Open Sans"/>
          <w:sz w:val="20"/>
          <w:szCs w:val="20"/>
        </w:rPr>
      </w:pPr>
      <w:r w:rsidRPr="00EA6E81">
        <w:rPr>
          <w:rFonts w:ascii="Open Sans" w:hAnsi="Open Sans" w:cs="Open Sans"/>
          <w:sz w:val="20"/>
          <w:szCs w:val="20"/>
          <w:u w:val="single"/>
        </w:rPr>
        <w:t>Comment.</w:t>
      </w:r>
      <w:r w:rsidRPr="00EA6E81">
        <w:rPr>
          <w:rFonts w:ascii="Open Sans" w:hAnsi="Open Sans" w:cs="Open Sans"/>
          <w:sz w:val="20"/>
          <w:szCs w:val="20"/>
        </w:rPr>
        <w:t xml:space="preserve"> According to the Exposure Draft the INPAG is intended to be used primarily by those that need to prepare financial information on an accrual basis because they and their users need information on assets and liabilities, and detail on income and expenses, that can only be provided by accrual accounting.</w:t>
      </w:r>
    </w:p>
    <w:p w14:paraId="63B0B655" w14:textId="77777777" w:rsidR="00EA6E81" w:rsidRPr="00EA6E81" w:rsidRDefault="00EA6E81" w:rsidP="00EA6E81">
      <w:pPr>
        <w:ind w:left="360"/>
        <w:rPr>
          <w:rFonts w:ascii="Open Sans" w:hAnsi="Open Sans" w:cs="Open Sans"/>
          <w:sz w:val="20"/>
          <w:szCs w:val="20"/>
        </w:rPr>
      </w:pPr>
      <w:r w:rsidRPr="00EA6E81">
        <w:rPr>
          <w:rFonts w:ascii="Open Sans" w:hAnsi="Open Sans" w:cs="Open Sans"/>
          <w:sz w:val="20"/>
          <w:szCs w:val="20"/>
        </w:rPr>
        <w:t>While the definition provided by the document is clear, perhaps more guidance could help the NPOs on deciding which framework they should use. For instance, in some cases the primary users may need information on assets and liabilities, but given their lack of materiality, the benefits of adopting the INPAG may not justify the costs of doing so.</w:t>
      </w:r>
    </w:p>
    <w:p w14:paraId="48448C74" w14:textId="77777777" w:rsidR="00EA6E81" w:rsidRPr="00EA6E81" w:rsidRDefault="00EA6E81" w:rsidP="00EA6E81">
      <w:pPr>
        <w:ind w:left="360"/>
        <w:rPr>
          <w:rFonts w:ascii="Open Sans" w:hAnsi="Open Sans" w:cs="Open Sans"/>
          <w:b/>
          <w:bCs/>
          <w:sz w:val="20"/>
          <w:szCs w:val="20"/>
        </w:rPr>
      </w:pPr>
      <w:r w:rsidRPr="00EA6E81">
        <w:rPr>
          <w:rFonts w:ascii="Open Sans" w:hAnsi="Open Sans" w:cs="Open Sans"/>
          <w:b/>
          <w:bCs/>
          <w:sz w:val="20"/>
          <w:szCs w:val="20"/>
        </w:rPr>
        <w:t>2. Narrative reporting</w:t>
      </w:r>
    </w:p>
    <w:p w14:paraId="08CD0B9F" w14:textId="77777777" w:rsidR="00EA6E81" w:rsidRPr="00EA6E81" w:rsidRDefault="00EA6E81" w:rsidP="00EA6E81">
      <w:pPr>
        <w:ind w:left="360"/>
        <w:rPr>
          <w:rFonts w:ascii="Open Sans" w:hAnsi="Open Sans" w:cs="Open Sans"/>
          <w:b/>
          <w:bCs/>
          <w:sz w:val="20"/>
          <w:szCs w:val="20"/>
        </w:rPr>
      </w:pPr>
      <w:r w:rsidRPr="00EA6E81">
        <w:rPr>
          <w:rFonts w:ascii="Open Sans" w:hAnsi="Open Sans" w:cs="Open Sans"/>
          <w:b/>
          <w:bCs/>
          <w:sz w:val="20"/>
          <w:szCs w:val="20"/>
        </w:rPr>
        <w:t>Do you agree with the principles proposed to underpin narrative reporting? (Question 12a)</w:t>
      </w:r>
    </w:p>
    <w:p w14:paraId="3D437F32" w14:textId="77777777" w:rsidR="00EA6E81" w:rsidRPr="00EA6E81" w:rsidRDefault="00EA6E81" w:rsidP="00EA6E81">
      <w:pPr>
        <w:ind w:left="360"/>
        <w:rPr>
          <w:rFonts w:ascii="Open Sans" w:hAnsi="Open Sans" w:cs="Open Sans"/>
          <w:b/>
          <w:bCs/>
          <w:sz w:val="20"/>
          <w:szCs w:val="20"/>
        </w:rPr>
      </w:pPr>
      <w:r w:rsidRPr="00EA6E81">
        <w:rPr>
          <w:rFonts w:ascii="Open Sans" w:hAnsi="Open Sans" w:cs="Open Sans"/>
          <w:b/>
          <w:bCs/>
          <w:sz w:val="20"/>
          <w:szCs w:val="20"/>
        </w:rPr>
        <w:t>Do you agree with the scope of the minimum mandatory requirement? (Question 12b)</w:t>
      </w:r>
    </w:p>
    <w:p w14:paraId="249C1A0C" w14:textId="77777777" w:rsidR="00EA6E81" w:rsidRPr="00EA6E81" w:rsidRDefault="00EA6E81" w:rsidP="00EA6E81">
      <w:pPr>
        <w:ind w:left="360"/>
        <w:rPr>
          <w:rFonts w:ascii="Open Sans" w:hAnsi="Open Sans" w:cs="Open Sans"/>
          <w:sz w:val="20"/>
          <w:szCs w:val="20"/>
        </w:rPr>
      </w:pPr>
      <w:r w:rsidRPr="00EA6E81">
        <w:rPr>
          <w:rFonts w:ascii="Open Sans" w:hAnsi="Open Sans" w:cs="Open Sans"/>
          <w:sz w:val="20"/>
          <w:szCs w:val="20"/>
          <w:u w:val="single"/>
        </w:rPr>
        <w:lastRenderedPageBreak/>
        <w:t>Comment.</w:t>
      </w:r>
      <w:r w:rsidRPr="00EA6E81">
        <w:rPr>
          <w:rFonts w:ascii="Open Sans" w:hAnsi="Open Sans" w:cs="Open Sans"/>
          <w:sz w:val="20"/>
          <w:szCs w:val="20"/>
        </w:rPr>
        <w:t xml:space="preserve"> The principles proposed for the narrative reporting are clear and well explained. The document explains that “Additional mandatory areas for inclusion, such as climate and broader sustainability reporting, were considered but were not progressed to keep the core requirement small. Instead, NPOs can opt to extend their narrative reports to cover additional areas provided that the mandatory topics and elements that are important to users of all NPO general purpose financial reports have been met”. While this approach seems reasonable, it maybe also important to encourage NPOs to develop even basic reporting practices on the areas of sustainability and climate. Perhaps the Exposure Draft could lay out some basic principles and transitory requirements which could be considered by NPOs over time and support them in their path for progressively expanding the narrative on such areas.</w:t>
      </w:r>
    </w:p>
    <w:p w14:paraId="7E885CCF" w14:textId="77777777" w:rsidR="00EA6E81" w:rsidRPr="00EA6E81" w:rsidRDefault="00EA6E81" w:rsidP="00EA6E81">
      <w:pPr>
        <w:ind w:left="360"/>
        <w:rPr>
          <w:rFonts w:ascii="Open Sans" w:hAnsi="Open Sans" w:cs="Open Sans"/>
          <w:b/>
          <w:bCs/>
          <w:sz w:val="20"/>
          <w:szCs w:val="20"/>
        </w:rPr>
      </w:pPr>
      <w:r w:rsidRPr="00EA6E81">
        <w:rPr>
          <w:rFonts w:ascii="Open Sans" w:hAnsi="Open Sans" w:cs="Open Sans"/>
          <w:b/>
          <w:bCs/>
          <w:sz w:val="20"/>
          <w:szCs w:val="20"/>
        </w:rPr>
        <w:t>3. Service potential.</w:t>
      </w:r>
    </w:p>
    <w:p w14:paraId="505D7645" w14:textId="77777777" w:rsidR="00EA6E81" w:rsidRPr="00EA6E81" w:rsidRDefault="00EA6E81" w:rsidP="00EA6E81">
      <w:pPr>
        <w:ind w:left="360"/>
        <w:rPr>
          <w:rFonts w:ascii="Open Sans" w:hAnsi="Open Sans" w:cs="Open Sans"/>
          <w:b/>
          <w:bCs/>
          <w:sz w:val="20"/>
          <w:szCs w:val="20"/>
        </w:rPr>
      </w:pPr>
      <w:r w:rsidRPr="00EA6E81">
        <w:rPr>
          <w:rFonts w:ascii="Open Sans" w:hAnsi="Open Sans" w:cs="Open Sans"/>
          <w:b/>
          <w:bCs/>
          <w:sz w:val="20"/>
          <w:szCs w:val="20"/>
        </w:rPr>
        <w:t>• Do you agree that ‘service potential’ should be introduced into INPAG? (Question 3g)</w:t>
      </w:r>
    </w:p>
    <w:p w14:paraId="0AA584A4" w14:textId="77777777" w:rsidR="00EA6E81" w:rsidRPr="00EA6E81" w:rsidRDefault="00EA6E81" w:rsidP="00EA6E81">
      <w:pPr>
        <w:ind w:left="360"/>
        <w:rPr>
          <w:rFonts w:ascii="Open Sans" w:hAnsi="Open Sans" w:cs="Open Sans"/>
          <w:sz w:val="20"/>
          <w:szCs w:val="20"/>
        </w:rPr>
      </w:pPr>
      <w:r w:rsidRPr="00EA6E81">
        <w:rPr>
          <w:rFonts w:ascii="Open Sans" w:hAnsi="Open Sans" w:cs="Open Sans"/>
          <w:sz w:val="20"/>
          <w:szCs w:val="20"/>
          <w:u w:val="single"/>
        </w:rPr>
        <w:t>Comment.</w:t>
      </w:r>
      <w:r w:rsidRPr="00EA6E81">
        <w:rPr>
          <w:rFonts w:ascii="Open Sans" w:hAnsi="Open Sans" w:cs="Open Sans"/>
          <w:sz w:val="20"/>
          <w:szCs w:val="20"/>
        </w:rPr>
        <w:t xml:space="preserve"> The concept of service potential seems reasonable given the fact that (as explained in the Exposure Draft) NPOs often hold assets in order to provide services and goods in accordance with their objectives rather than to generate and maximize cash flows. </w:t>
      </w:r>
    </w:p>
    <w:p w14:paraId="30FC5AA6" w14:textId="0C7503C7" w:rsidR="00EA6E81" w:rsidRPr="00EA6E81" w:rsidRDefault="00EA6E81" w:rsidP="00EA6E81">
      <w:pPr>
        <w:ind w:left="360"/>
        <w:rPr>
          <w:rFonts w:ascii="Open Sans" w:hAnsi="Open Sans" w:cs="Open Sans"/>
          <w:sz w:val="20"/>
          <w:szCs w:val="20"/>
        </w:rPr>
      </w:pPr>
      <w:r w:rsidRPr="00EA6E81">
        <w:rPr>
          <w:rFonts w:ascii="Open Sans" w:hAnsi="Open Sans" w:cs="Open Sans"/>
          <w:sz w:val="20"/>
          <w:szCs w:val="20"/>
        </w:rPr>
        <w:t>Nevertheless, given the potential not only for confusion, but also for error, and even purposely misleading primary users and other parties interested in the financial information (for example, tax authorities), the standard setter could consider the possibility of issuing complementary guidance with the criteria for classifying, measuring, and disclosing the different type of assets hold by NPOs.</w:t>
      </w:r>
    </w:p>
    <w:p w14:paraId="7D6352FA" w14:textId="3BBE003E" w:rsidR="00B45C4D" w:rsidRPr="00381D42" w:rsidRDefault="00B45C4D" w:rsidP="00381D42">
      <w:pPr>
        <w:pStyle w:val="ListParagraph"/>
        <w:numPr>
          <w:ilvl w:val="0"/>
          <w:numId w:val="18"/>
        </w:numPr>
        <w:rPr>
          <w:rFonts w:ascii="Open Sans" w:hAnsi="Open Sans" w:cs="Open Sans"/>
          <w:sz w:val="20"/>
          <w:szCs w:val="20"/>
        </w:rPr>
      </w:pPr>
      <w:r w:rsidRPr="00381D42">
        <w:rPr>
          <w:rFonts w:ascii="Open Sans" w:hAnsi="Open Sans" w:cs="Open Sans"/>
          <w:b/>
          <w:bCs/>
          <w:sz w:val="20"/>
          <w:szCs w:val="20"/>
        </w:rPr>
        <w:t>Value proposition:</w:t>
      </w:r>
      <w:r w:rsidRPr="00381D42">
        <w:rPr>
          <w:rFonts w:ascii="Open Sans" w:hAnsi="Open Sans" w:cs="Open Sans"/>
          <w:sz w:val="20"/>
          <w:szCs w:val="20"/>
        </w:rPr>
        <w:t xml:space="preserve"> Given a financial reporting framework, including IFRS for SME, cash and accrual basis IPSAS are already available for NPO, the ED1 need to highlight the difference between the proposed framework and what currently exits. A question instantly comes up why a separate reporting standard is needed and what are the value proposition? </w:t>
      </w:r>
    </w:p>
    <w:p w14:paraId="6E8C952F" w14:textId="77777777" w:rsidR="00B45C4D" w:rsidRPr="006E2340" w:rsidRDefault="00B45C4D" w:rsidP="00381D42">
      <w:pPr>
        <w:ind w:left="360"/>
        <w:rPr>
          <w:rFonts w:ascii="Open Sans" w:hAnsi="Open Sans" w:cs="Open Sans"/>
          <w:sz w:val="20"/>
          <w:szCs w:val="20"/>
        </w:rPr>
      </w:pPr>
      <w:r w:rsidRPr="00381D42">
        <w:rPr>
          <w:rFonts w:ascii="Open Sans" w:hAnsi="Open Sans" w:cs="Open Sans"/>
          <w:b/>
          <w:bCs/>
          <w:sz w:val="20"/>
          <w:szCs w:val="20"/>
        </w:rPr>
        <w:t>Size of Entity and Accrual basis of accounting-</w:t>
      </w:r>
      <w:r w:rsidRPr="006E2340">
        <w:rPr>
          <w:rFonts w:ascii="Open Sans" w:hAnsi="Open Sans" w:cs="Open Sans"/>
          <w:sz w:val="20"/>
          <w:szCs w:val="20"/>
        </w:rPr>
        <w:t xml:space="preserve"> Most of the NPOs prefer simplified accounting and follow cash basis of accounting. The proposed guidance suggests accrual basis of accounting without leaving the option to choose one of the two major accounting methods: accrual-basis accounting or cash-basis accounting. Often size and pattern of business activities or transactions determine the method, as such a flexible approach seems more feasible. </w:t>
      </w:r>
    </w:p>
    <w:p w14:paraId="224414AD" w14:textId="77777777" w:rsidR="00B45C4D" w:rsidRPr="006E2340" w:rsidRDefault="00B45C4D" w:rsidP="00381D42">
      <w:pPr>
        <w:ind w:left="360"/>
        <w:rPr>
          <w:rFonts w:ascii="Open Sans" w:hAnsi="Open Sans" w:cs="Open Sans"/>
          <w:sz w:val="20"/>
          <w:szCs w:val="20"/>
        </w:rPr>
      </w:pPr>
    </w:p>
    <w:p w14:paraId="28D9FA34" w14:textId="77777777" w:rsidR="00B45C4D" w:rsidRPr="006E2340" w:rsidRDefault="00B45C4D" w:rsidP="00381D42">
      <w:pPr>
        <w:ind w:left="360"/>
        <w:rPr>
          <w:rFonts w:ascii="Open Sans" w:hAnsi="Open Sans" w:cs="Open Sans"/>
          <w:sz w:val="20"/>
          <w:szCs w:val="20"/>
        </w:rPr>
      </w:pPr>
      <w:r w:rsidRPr="006E2340">
        <w:rPr>
          <w:rFonts w:ascii="Open Sans" w:hAnsi="Open Sans" w:cs="Open Sans"/>
          <w:sz w:val="20"/>
          <w:szCs w:val="20"/>
        </w:rPr>
        <w:t xml:space="preserve">Considering the common argument as to accrual basis of accounting that it fails to provide an accurate depiction of current net assets as many incomes are pending at the time of reporting, it might be a good idea to leave both the options open with mandatory IPSAS compliance. </w:t>
      </w:r>
    </w:p>
    <w:p w14:paraId="07B7E11F" w14:textId="77777777" w:rsidR="00B45C4D" w:rsidRPr="006E2340" w:rsidRDefault="00B45C4D" w:rsidP="00381D42">
      <w:pPr>
        <w:ind w:left="360"/>
        <w:rPr>
          <w:rFonts w:ascii="Open Sans" w:hAnsi="Open Sans" w:cs="Open Sans"/>
          <w:sz w:val="20"/>
          <w:szCs w:val="20"/>
        </w:rPr>
      </w:pPr>
      <w:r w:rsidRPr="00381D42">
        <w:rPr>
          <w:rFonts w:ascii="Open Sans" w:hAnsi="Open Sans" w:cs="Open Sans"/>
          <w:b/>
          <w:bCs/>
          <w:sz w:val="20"/>
          <w:szCs w:val="20"/>
        </w:rPr>
        <w:t>NPOs with IFRS similar to SME</w:t>
      </w:r>
      <w:r w:rsidRPr="006E2340">
        <w:rPr>
          <w:rFonts w:ascii="Open Sans" w:hAnsi="Open Sans" w:cs="Open Sans"/>
          <w:sz w:val="20"/>
          <w:szCs w:val="20"/>
        </w:rPr>
        <w:t xml:space="preserve">- As per the draft, the INPAG concepts and principles have been adapted from the IFRS for SMEs Accounting Standard and take account of the conceptual frameworks used in the development of IFRS Accounting Standards and IPSASB standards. A blanket adoption of IFRS like SME for NPO may create confusion as most countries national authorities have agreed that SMEs should have fewer financial reporting requirements. The primary reason for this to provide relief to SMEs from the burden and disproportionate costs of compliance associated with the full financial reporting requirements that apply to PIEs. Like SMEs, NPOs usually have a reduced number of user groups, less complex transactions, and therefore a narrower range of information is needed for decision-making purposes by its stakeholders. </w:t>
      </w:r>
    </w:p>
    <w:p w14:paraId="3444046E" w14:textId="77777777" w:rsidR="00B45C4D" w:rsidRPr="006E2340" w:rsidRDefault="00B45C4D" w:rsidP="00381D42">
      <w:pPr>
        <w:ind w:left="360"/>
        <w:rPr>
          <w:rFonts w:ascii="Open Sans" w:hAnsi="Open Sans" w:cs="Open Sans"/>
          <w:sz w:val="20"/>
          <w:szCs w:val="20"/>
        </w:rPr>
      </w:pPr>
      <w:r w:rsidRPr="006E2340">
        <w:rPr>
          <w:rFonts w:ascii="Open Sans" w:hAnsi="Open Sans" w:cs="Open Sans"/>
          <w:sz w:val="20"/>
          <w:szCs w:val="20"/>
        </w:rPr>
        <w:t xml:space="preserve">It is worth considering for NPO the concepts of differential and simplified reporting by using quantitative size-based criteria (e.g. total income, total net assets, number of employees, size of funds with restriction) to determine thresholds for financial reporting requirements </w:t>
      </w:r>
      <w:proofErr w:type="spellStart"/>
      <w:r w:rsidRPr="006E2340">
        <w:rPr>
          <w:rFonts w:ascii="Open Sans" w:hAnsi="Open Sans" w:cs="Open Sans"/>
          <w:sz w:val="20"/>
          <w:szCs w:val="20"/>
        </w:rPr>
        <w:t>i.e</w:t>
      </w:r>
      <w:proofErr w:type="spellEnd"/>
      <w:r w:rsidRPr="006E2340">
        <w:rPr>
          <w:rFonts w:ascii="Open Sans" w:hAnsi="Open Sans" w:cs="Open Sans"/>
          <w:sz w:val="20"/>
          <w:szCs w:val="20"/>
        </w:rPr>
        <w:t xml:space="preserve">  general purpose financial statements prepared in full compliance with IFRS or the national equivalent standard or simplified financial reporting requirements that are consistent with the main principles of IFRS for SMEs and that are aligned as far as possible with the country rules and regulations.</w:t>
      </w:r>
    </w:p>
    <w:p w14:paraId="0ACF9A87" w14:textId="77777777" w:rsidR="00B45C4D" w:rsidRPr="006E2340" w:rsidRDefault="00B45C4D" w:rsidP="00381D42">
      <w:pPr>
        <w:ind w:left="360"/>
        <w:rPr>
          <w:rFonts w:ascii="Open Sans" w:hAnsi="Open Sans" w:cs="Open Sans"/>
          <w:sz w:val="20"/>
          <w:szCs w:val="20"/>
        </w:rPr>
      </w:pPr>
      <w:r w:rsidRPr="00AE1426">
        <w:rPr>
          <w:rFonts w:ascii="Open Sans" w:hAnsi="Open Sans" w:cs="Open Sans"/>
          <w:b/>
          <w:bCs/>
          <w:sz w:val="20"/>
          <w:szCs w:val="20"/>
        </w:rPr>
        <w:t>Narrative reporting-</w:t>
      </w:r>
      <w:r w:rsidRPr="006E2340">
        <w:rPr>
          <w:rFonts w:ascii="Open Sans" w:hAnsi="Open Sans" w:cs="Open Sans"/>
          <w:sz w:val="20"/>
          <w:szCs w:val="20"/>
        </w:rPr>
        <w:t xml:space="preserve"> Considering growing importance of sustainability and climate change, the Exposure Draft could suggest basic reporting requirement on these areas so that NPOs are well equipped to tackle current and future needs in this respect. </w:t>
      </w:r>
    </w:p>
    <w:p w14:paraId="6F4FBCC8" w14:textId="03A6C2C4" w:rsidR="00EA6E81" w:rsidRDefault="00B45C4D" w:rsidP="00381D42">
      <w:pPr>
        <w:ind w:left="360"/>
        <w:rPr>
          <w:rFonts w:ascii="Open Sans" w:hAnsi="Open Sans" w:cs="Open Sans"/>
          <w:sz w:val="20"/>
          <w:szCs w:val="20"/>
        </w:rPr>
      </w:pPr>
      <w:r w:rsidRPr="00AE1426">
        <w:rPr>
          <w:rFonts w:ascii="Open Sans" w:hAnsi="Open Sans" w:cs="Open Sans"/>
          <w:b/>
          <w:bCs/>
          <w:sz w:val="20"/>
          <w:szCs w:val="20"/>
        </w:rPr>
        <w:t>Funds with restriction and financial position:</w:t>
      </w:r>
      <w:r w:rsidRPr="006E2340">
        <w:rPr>
          <w:rFonts w:ascii="Open Sans" w:hAnsi="Open Sans" w:cs="Open Sans"/>
          <w:sz w:val="20"/>
          <w:szCs w:val="20"/>
        </w:rPr>
        <w:t xml:space="preserve"> These are tied funds to support activities defined by the financiers. The ED suggests a separate column for its reporting. Is it necessary? It seems disclosure note (material note) better option from the presentation and information perspective. Also funds with restriction is suggested to exclude from the calculation of financial position and to show it separately. Why two separate set of reporting to determine financial position of NPOs, one for restricted funds and one for without restriction. Given that flow of funds is the </w:t>
      </w:r>
      <w:r w:rsidRPr="006E2340">
        <w:rPr>
          <w:rFonts w:ascii="Open Sans" w:hAnsi="Open Sans" w:cs="Open Sans"/>
          <w:sz w:val="20"/>
          <w:szCs w:val="20"/>
        </w:rPr>
        <w:lastRenderedPageBreak/>
        <w:t>determining factor to identify financial position irrespective of the form of funds, consideration might be given to combine both the resources to show financial strengthens of an entity.</w:t>
      </w:r>
    </w:p>
    <w:p w14:paraId="2E0E13BA" w14:textId="77777777" w:rsidR="00AE1426" w:rsidRDefault="00AE1426" w:rsidP="00381D42">
      <w:pPr>
        <w:ind w:left="360"/>
        <w:rPr>
          <w:rFonts w:ascii="Open Sans" w:hAnsi="Open Sans" w:cs="Open Sans"/>
          <w:sz w:val="20"/>
          <w:szCs w:val="20"/>
        </w:rPr>
      </w:pPr>
    </w:p>
    <w:p w14:paraId="74083AAC" w14:textId="60E1821D" w:rsidR="0002746A" w:rsidRPr="00F3751F" w:rsidRDefault="00F3751F" w:rsidP="00F3751F">
      <w:pPr>
        <w:pStyle w:val="ListParagraph"/>
        <w:numPr>
          <w:ilvl w:val="0"/>
          <w:numId w:val="18"/>
        </w:numPr>
        <w:rPr>
          <w:rFonts w:ascii="Open Sans" w:hAnsi="Open Sans" w:cs="Open Sans"/>
          <w:b/>
          <w:bCs/>
          <w:sz w:val="20"/>
          <w:szCs w:val="20"/>
        </w:rPr>
      </w:pPr>
      <w:r w:rsidRPr="00F3751F">
        <w:rPr>
          <w:rFonts w:ascii="Open Sans" w:hAnsi="Open Sans" w:cs="Open Sans"/>
          <w:b/>
          <w:bCs/>
          <w:sz w:val="20"/>
          <w:szCs w:val="20"/>
        </w:rPr>
        <w:t xml:space="preserve">Other </w:t>
      </w:r>
      <w:r>
        <w:rPr>
          <w:rFonts w:ascii="Open Sans" w:hAnsi="Open Sans" w:cs="Open Sans"/>
          <w:b/>
          <w:bCs/>
          <w:sz w:val="20"/>
          <w:szCs w:val="20"/>
        </w:rPr>
        <w:t xml:space="preserve">particular </w:t>
      </w:r>
      <w:r w:rsidR="000C4E37" w:rsidRPr="00F3751F">
        <w:rPr>
          <w:rFonts w:ascii="Open Sans" w:hAnsi="Open Sans" w:cs="Open Sans"/>
          <w:b/>
          <w:bCs/>
          <w:sz w:val="20"/>
          <w:szCs w:val="20"/>
        </w:rPr>
        <w:t>Comment</w:t>
      </w:r>
      <w:r w:rsidRPr="00F3751F">
        <w:rPr>
          <w:rFonts w:ascii="Open Sans" w:hAnsi="Open Sans" w:cs="Open Sans"/>
          <w:b/>
          <w:bCs/>
          <w:sz w:val="20"/>
          <w:szCs w:val="20"/>
        </w:rPr>
        <w:t>s  (following template)</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424AC879" w14:textId="441A40B3" w:rsidR="001D080E" w:rsidRPr="003C14DF" w:rsidRDefault="004716BE" w:rsidP="001D080E">
            <w:pPr>
              <w:jc w:val="both"/>
              <w:rPr>
                <w:rFonts w:ascii="Open Sans" w:hAnsi="Open Sans" w:cs="Open Sans"/>
                <w:b/>
                <w:bCs/>
                <w:sz w:val="20"/>
                <w:szCs w:val="20"/>
                <w:lang w:val="en-US"/>
              </w:rPr>
            </w:pPr>
            <w:r w:rsidRPr="003C14DF">
              <w:rPr>
                <w:rFonts w:ascii="Open Sans" w:hAnsi="Open Sans" w:cs="Open Sans"/>
                <w:b/>
                <w:bCs/>
                <w:sz w:val="20"/>
                <w:szCs w:val="20"/>
                <w:lang w:val="en-US"/>
              </w:rPr>
              <w:t xml:space="preserve">The structure of INPAG is helpful and its organization by topic in separate sections makes it easy to follow. Moreover, </w:t>
            </w:r>
            <w:r w:rsidR="005F7324" w:rsidRPr="003C14DF">
              <w:rPr>
                <w:rFonts w:ascii="Open Sans" w:hAnsi="Open Sans" w:cs="Open Sans"/>
                <w:b/>
                <w:bCs/>
                <w:sz w:val="20"/>
                <w:szCs w:val="20"/>
                <w:lang w:val="en-US"/>
              </w:rPr>
              <w:t xml:space="preserve">the fact that </w:t>
            </w:r>
            <w:r w:rsidRPr="003C14DF">
              <w:rPr>
                <w:rFonts w:ascii="Open Sans" w:hAnsi="Open Sans" w:cs="Open Sans"/>
                <w:b/>
                <w:bCs/>
                <w:sz w:val="20"/>
                <w:szCs w:val="20"/>
                <w:lang w:val="en-US"/>
              </w:rPr>
              <w:t xml:space="preserve">IFRS for SMEs </w:t>
            </w:r>
            <w:r w:rsidR="005F7324" w:rsidRPr="003C14DF">
              <w:rPr>
                <w:rFonts w:ascii="Open Sans" w:hAnsi="Open Sans" w:cs="Open Sans"/>
                <w:b/>
                <w:bCs/>
                <w:sz w:val="20"/>
                <w:szCs w:val="20"/>
                <w:lang w:val="en-US"/>
              </w:rPr>
              <w:t xml:space="preserve">are used as a foundational framework </w:t>
            </w:r>
            <w:r w:rsidRPr="003C14DF">
              <w:rPr>
                <w:rFonts w:ascii="Open Sans" w:hAnsi="Open Sans" w:cs="Open Sans"/>
                <w:b/>
                <w:bCs/>
                <w:sz w:val="20"/>
                <w:szCs w:val="20"/>
                <w:lang w:val="en-US"/>
              </w:rPr>
              <w:t xml:space="preserve">make </w:t>
            </w:r>
            <w:r w:rsidR="005F7324" w:rsidRPr="003C14DF">
              <w:rPr>
                <w:rFonts w:ascii="Open Sans" w:hAnsi="Open Sans" w:cs="Open Sans"/>
                <w:b/>
                <w:bCs/>
                <w:sz w:val="20"/>
                <w:szCs w:val="20"/>
                <w:lang w:val="en-US"/>
              </w:rPr>
              <w:t xml:space="preserve">INPAG </w:t>
            </w:r>
            <w:r w:rsidRPr="003C14DF">
              <w:rPr>
                <w:rFonts w:ascii="Open Sans" w:hAnsi="Open Sans" w:cs="Open Sans"/>
                <w:b/>
                <w:bCs/>
                <w:sz w:val="20"/>
                <w:szCs w:val="20"/>
                <w:lang w:val="en-US"/>
              </w:rPr>
              <w:t>easy to understand and the</w:t>
            </w:r>
            <w:r w:rsidR="00B112A1" w:rsidRPr="003C14DF">
              <w:rPr>
                <w:rFonts w:ascii="Open Sans" w:hAnsi="Open Sans" w:cs="Open Sans"/>
                <w:b/>
                <w:bCs/>
                <w:sz w:val="20"/>
                <w:szCs w:val="20"/>
                <w:lang w:val="en-US"/>
              </w:rPr>
              <w:t xml:space="preserve"> inclusion of status indicators for e</w:t>
            </w:r>
            <w:r w:rsidR="00C209B2" w:rsidRPr="003C14DF">
              <w:rPr>
                <w:rFonts w:ascii="Open Sans" w:hAnsi="Open Sans" w:cs="Open Sans"/>
                <w:b/>
                <w:bCs/>
                <w:sz w:val="20"/>
                <w:szCs w:val="20"/>
                <w:lang w:val="en-US"/>
              </w:rPr>
              <w:t>ach</w:t>
            </w:r>
            <w:r w:rsidR="00B112A1" w:rsidRPr="003C14DF">
              <w:rPr>
                <w:rFonts w:ascii="Open Sans" w:hAnsi="Open Sans" w:cs="Open Sans"/>
                <w:b/>
                <w:bCs/>
                <w:sz w:val="20"/>
                <w:szCs w:val="20"/>
                <w:lang w:val="en-US"/>
              </w:rPr>
              <w:t xml:space="preserve"> </w:t>
            </w:r>
            <w:r w:rsidR="00C209B2" w:rsidRPr="003C14DF">
              <w:rPr>
                <w:rFonts w:ascii="Open Sans" w:hAnsi="Open Sans" w:cs="Open Sans"/>
                <w:b/>
                <w:bCs/>
                <w:sz w:val="20"/>
                <w:szCs w:val="20"/>
                <w:lang w:val="en-US"/>
              </w:rPr>
              <w:t>section</w:t>
            </w:r>
            <w:r w:rsidRPr="003C14DF">
              <w:rPr>
                <w:rFonts w:ascii="Open Sans" w:hAnsi="Open Sans" w:cs="Open Sans"/>
                <w:b/>
                <w:bCs/>
                <w:sz w:val="20"/>
                <w:szCs w:val="20"/>
                <w:lang w:val="en-US"/>
              </w:rPr>
              <w:t xml:space="preserve"> </w:t>
            </w:r>
            <w:r w:rsidR="00C209B2" w:rsidRPr="003C14DF">
              <w:rPr>
                <w:rFonts w:ascii="Open Sans" w:hAnsi="Open Sans" w:cs="Open Sans"/>
                <w:b/>
                <w:bCs/>
                <w:sz w:val="20"/>
                <w:szCs w:val="20"/>
                <w:lang w:val="en-US"/>
              </w:rPr>
              <w:t>indicating whether it is new, modified, updated, or contains editorial changes is very useful</w:t>
            </w:r>
            <w:r w:rsidRPr="003C14DF">
              <w:rPr>
                <w:rFonts w:ascii="Open Sans" w:hAnsi="Open Sans" w:cs="Open Sans"/>
                <w:b/>
                <w:bCs/>
                <w:sz w:val="20"/>
                <w:szCs w:val="20"/>
                <w:lang w:val="en-US"/>
              </w:rPr>
              <w:t>.</w:t>
            </w:r>
          </w:p>
          <w:p w14:paraId="5EF1D752" w14:textId="77777777" w:rsidR="00A7789F" w:rsidRPr="003C14DF" w:rsidRDefault="00A7789F" w:rsidP="00C209B2">
            <w:pPr>
              <w:jc w:val="both"/>
              <w:rPr>
                <w:rFonts w:ascii="Open Sans" w:hAnsi="Open Sans" w:cs="Open Sans"/>
                <w:b/>
                <w:bCs/>
                <w:sz w:val="20"/>
                <w:szCs w:val="20"/>
                <w:lang w:val="en-US"/>
              </w:rPr>
            </w:pP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414063C5" w14:textId="77777777" w:rsidR="004716BE" w:rsidRPr="003C14DF" w:rsidRDefault="004716BE" w:rsidP="004716BE">
            <w:pPr>
              <w:jc w:val="both"/>
              <w:rPr>
                <w:rFonts w:ascii="Open Sans" w:hAnsi="Open Sans" w:cs="Open Sans"/>
                <w:b/>
                <w:bCs/>
                <w:sz w:val="20"/>
                <w:szCs w:val="20"/>
                <w:lang w:val="en-US"/>
              </w:rPr>
            </w:pPr>
            <w:r w:rsidRPr="003C14DF">
              <w:rPr>
                <w:rFonts w:ascii="Open Sans" w:hAnsi="Open Sans" w:cs="Open Sans"/>
                <w:b/>
                <w:bCs/>
                <w:sz w:val="20"/>
                <w:szCs w:val="20"/>
                <w:lang w:val="en-US"/>
              </w:rPr>
              <w:t xml:space="preserve">This is a great initiative that comes to fill a void in the specific standards / guidance for NPOs reporting, as justified by the results of the International Survey in 2014 followed by the overwhelming support to the consultation paper issued in 2021 on the proposal for development of INPAG. </w:t>
            </w:r>
          </w:p>
          <w:p w14:paraId="0108BEA2" w14:textId="77777777" w:rsidR="00623B8E" w:rsidRPr="003C14DF" w:rsidRDefault="004716BE" w:rsidP="004716BE">
            <w:pPr>
              <w:jc w:val="both"/>
              <w:rPr>
                <w:rFonts w:ascii="Open Sans" w:hAnsi="Open Sans" w:cs="Open Sans"/>
                <w:b/>
                <w:bCs/>
                <w:sz w:val="20"/>
                <w:szCs w:val="20"/>
                <w:lang w:val="en-US"/>
              </w:rPr>
            </w:pPr>
            <w:r w:rsidRPr="003C14DF">
              <w:rPr>
                <w:rFonts w:ascii="Open Sans" w:hAnsi="Open Sans" w:cs="Open Sans"/>
                <w:b/>
                <w:bCs/>
                <w:sz w:val="20"/>
                <w:szCs w:val="20"/>
                <w:lang w:val="en-US"/>
              </w:rPr>
              <w:t xml:space="preserve">The </w:t>
            </w:r>
            <w:r w:rsidR="001D080E" w:rsidRPr="003C14DF">
              <w:rPr>
                <w:rFonts w:ascii="Open Sans" w:hAnsi="Open Sans" w:cs="Open Sans"/>
                <w:b/>
                <w:bCs/>
                <w:sz w:val="20"/>
                <w:szCs w:val="20"/>
                <w:lang w:val="en-US"/>
              </w:rPr>
              <w:t>document</w:t>
            </w:r>
            <w:r w:rsidRPr="003C14DF">
              <w:rPr>
                <w:rFonts w:ascii="Open Sans" w:hAnsi="Open Sans" w:cs="Open Sans"/>
                <w:b/>
                <w:bCs/>
                <w:sz w:val="20"/>
                <w:szCs w:val="20"/>
                <w:lang w:val="en-US"/>
              </w:rPr>
              <w:t xml:space="preserve"> explains adequately the background, objectives, and approach to INPAG </w:t>
            </w:r>
            <w:r w:rsidR="001D080E" w:rsidRPr="003C14DF">
              <w:rPr>
                <w:rFonts w:ascii="Open Sans" w:hAnsi="Open Sans" w:cs="Open Sans"/>
                <w:b/>
                <w:bCs/>
                <w:sz w:val="20"/>
                <w:szCs w:val="20"/>
                <w:lang w:val="en-US"/>
              </w:rPr>
              <w:t>development,</w:t>
            </w:r>
            <w:r w:rsidRPr="003C14DF">
              <w:rPr>
                <w:rFonts w:ascii="Open Sans" w:hAnsi="Open Sans" w:cs="Open Sans"/>
                <w:b/>
                <w:bCs/>
                <w:sz w:val="20"/>
                <w:szCs w:val="20"/>
                <w:lang w:val="en-US"/>
              </w:rPr>
              <w:t xml:space="preserve"> and it does a great job in explaining the different alternatives considered both from the technical and practical standpoints during the process and the rationale used for deciding the </w:t>
            </w:r>
            <w:r w:rsidR="001D080E" w:rsidRPr="003C14DF">
              <w:rPr>
                <w:rFonts w:ascii="Open Sans" w:hAnsi="Open Sans" w:cs="Open Sans"/>
                <w:b/>
                <w:bCs/>
                <w:sz w:val="20"/>
                <w:szCs w:val="20"/>
                <w:lang w:val="en-US"/>
              </w:rPr>
              <w:t>proposed</w:t>
            </w:r>
            <w:r w:rsidRPr="003C14DF">
              <w:rPr>
                <w:rFonts w:ascii="Open Sans" w:hAnsi="Open Sans" w:cs="Open Sans"/>
                <w:b/>
                <w:bCs/>
                <w:sz w:val="20"/>
                <w:szCs w:val="20"/>
                <w:lang w:val="en-US"/>
              </w:rPr>
              <w:t xml:space="preserve"> approach. </w:t>
            </w:r>
          </w:p>
          <w:p w14:paraId="1B6D03EB" w14:textId="1D46A586" w:rsidR="00C209B2" w:rsidRPr="003C14DF" w:rsidRDefault="00C209B2" w:rsidP="00C209B2">
            <w:pPr>
              <w:jc w:val="both"/>
              <w:rPr>
                <w:rFonts w:ascii="Open Sans" w:hAnsi="Open Sans" w:cs="Open Sans"/>
                <w:b/>
                <w:bCs/>
                <w:sz w:val="20"/>
                <w:szCs w:val="20"/>
                <w:lang w:val="en-US"/>
              </w:rPr>
            </w:pPr>
            <w:r w:rsidRPr="003C14DF">
              <w:rPr>
                <w:rFonts w:ascii="Open Sans" w:hAnsi="Open Sans" w:cs="Open Sans"/>
                <w:b/>
                <w:bCs/>
                <w:sz w:val="20"/>
                <w:szCs w:val="20"/>
                <w:lang w:val="en-US"/>
              </w:rPr>
              <w:lastRenderedPageBreak/>
              <w:t>The decision for a phased approach</w:t>
            </w:r>
            <w:r w:rsidR="003C14DF" w:rsidRPr="003C14DF">
              <w:rPr>
                <w:rFonts w:ascii="Open Sans" w:hAnsi="Open Sans" w:cs="Open Sans"/>
                <w:b/>
                <w:bCs/>
                <w:sz w:val="20"/>
                <w:szCs w:val="20"/>
                <w:lang w:val="en-US"/>
              </w:rPr>
              <w:t xml:space="preserve"> to publishing the draft guidance</w:t>
            </w:r>
            <w:r w:rsidRPr="003C14DF">
              <w:rPr>
                <w:rFonts w:ascii="Open Sans" w:hAnsi="Open Sans" w:cs="Open Sans"/>
                <w:b/>
                <w:bCs/>
                <w:sz w:val="20"/>
                <w:szCs w:val="20"/>
                <w:lang w:val="en-US"/>
              </w:rPr>
              <w:t xml:space="preserve"> in three different stages is commended.</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76DF1CE6" w14:textId="0026330E" w:rsidR="00FE20EA" w:rsidRPr="003C14DF" w:rsidRDefault="00B112A1" w:rsidP="00D90216">
            <w:pPr>
              <w:spacing w:before="120" w:after="120"/>
              <w:rPr>
                <w:rFonts w:ascii="Open Sans" w:hAnsi="Open Sans" w:cs="Open Sans"/>
                <w:b/>
                <w:bCs/>
                <w:sz w:val="20"/>
                <w:szCs w:val="20"/>
                <w:lang w:val="en-US"/>
              </w:rPr>
            </w:pPr>
            <w:r w:rsidRPr="003C14DF">
              <w:rPr>
                <w:rFonts w:ascii="Open Sans" w:hAnsi="Open Sans" w:cs="Open Sans"/>
                <w:b/>
                <w:bCs/>
                <w:sz w:val="20"/>
                <w:szCs w:val="20"/>
                <w:lang w:val="en-US"/>
              </w:rPr>
              <w:t xml:space="preserve">Yes, the definition is broad enough to cover the different types of entities that might be NPOs. </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3A49E80A" w:rsidR="00A7789F" w:rsidRPr="003C14DF" w:rsidRDefault="005F7324" w:rsidP="005476F2">
            <w:pPr>
              <w:spacing w:before="120" w:after="120"/>
              <w:rPr>
                <w:rFonts w:ascii="Open Sans" w:hAnsi="Open Sans" w:cs="Open Sans"/>
                <w:b/>
                <w:bCs/>
                <w:sz w:val="20"/>
                <w:szCs w:val="20"/>
                <w:lang w:val="en-US"/>
              </w:rPr>
            </w:pPr>
            <w:r w:rsidRPr="003C14DF">
              <w:rPr>
                <w:rFonts w:ascii="Open Sans" w:hAnsi="Open Sans" w:cs="Open Sans"/>
                <w:b/>
                <w:bCs/>
                <w:sz w:val="20"/>
                <w:szCs w:val="20"/>
                <w:lang w:val="en-US"/>
              </w:rPr>
              <w:t xml:space="preserve">Yes, Section 1 thoroughly addresses the type of NPOs intended to benefit from the use of INPAG. Moreover, Application Guidance for Section 1 is useful for </w:t>
            </w:r>
            <w:r w:rsidR="005E2EB9" w:rsidRPr="003C14DF">
              <w:rPr>
                <w:rFonts w:ascii="Open Sans" w:hAnsi="Open Sans" w:cs="Open Sans"/>
                <w:b/>
                <w:bCs/>
                <w:sz w:val="20"/>
                <w:szCs w:val="20"/>
                <w:lang w:val="en-US"/>
              </w:rPr>
              <w:t>further clarifying the type of entities that might be NPOs.</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lastRenderedPageBreak/>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1058CB67" w:rsidR="00FE20EA" w:rsidRPr="003C14DF" w:rsidRDefault="003F0A99" w:rsidP="00E36F6E">
            <w:pPr>
              <w:rPr>
                <w:rFonts w:ascii="Open Sans" w:hAnsi="Open Sans" w:cs="Open Sans"/>
                <w:b/>
                <w:bCs/>
                <w:sz w:val="20"/>
                <w:szCs w:val="20"/>
                <w:lang w:val="en-US"/>
              </w:rPr>
            </w:pPr>
            <w:r w:rsidRPr="003C14DF">
              <w:rPr>
                <w:rFonts w:ascii="Open Sans" w:hAnsi="Open Sans" w:cs="Open Sans"/>
                <w:b/>
                <w:bCs/>
                <w:sz w:val="20"/>
                <w:szCs w:val="20"/>
                <w:lang w:val="en-US"/>
              </w:rPr>
              <w:t>Yes.</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104C3BA1" w:rsidR="00FE20EA" w:rsidRPr="003C14DF" w:rsidRDefault="003F0A99" w:rsidP="00E36F6E">
            <w:pPr>
              <w:rPr>
                <w:rFonts w:ascii="Open Sans" w:hAnsi="Open Sans" w:cs="Open Sans"/>
                <w:b/>
                <w:bCs/>
                <w:sz w:val="20"/>
                <w:szCs w:val="20"/>
                <w:lang w:val="en-US"/>
              </w:rPr>
            </w:pPr>
            <w:r w:rsidRPr="003C14DF">
              <w:rPr>
                <w:rFonts w:ascii="Open Sans" w:hAnsi="Open Sans" w:cs="Open Sans"/>
                <w:b/>
                <w:bCs/>
                <w:sz w:val="20"/>
                <w:szCs w:val="20"/>
                <w:lang w:val="en-US"/>
              </w:rPr>
              <w:t>Yes.</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5A641E3C" w:rsidR="00FE20EA" w:rsidRPr="003C14DF" w:rsidRDefault="003F0A99" w:rsidP="00E36F6E">
            <w:pPr>
              <w:rPr>
                <w:rFonts w:ascii="Open Sans" w:hAnsi="Open Sans" w:cs="Open Sans"/>
                <w:b/>
                <w:bCs/>
                <w:sz w:val="20"/>
                <w:szCs w:val="20"/>
                <w:lang w:val="en-US"/>
              </w:rPr>
            </w:pPr>
            <w:r w:rsidRPr="003C14DF">
              <w:rPr>
                <w:rFonts w:ascii="Open Sans" w:hAnsi="Open Sans" w:cs="Open Sans"/>
                <w:b/>
                <w:bCs/>
                <w:sz w:val="20"/>
                <w:szCs w:val="20"/>
                <w:lang w:val="en-US"/>
              </w:rPr>
              <w:t>Yes.</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1AF680EF" w:rsidR="00FE20EA" w:rsidRPr="003C14DF" w:rsidRDefault="00E63DB2" w:rsidP="00E36F6E">
            <w:pPr>
              <w:rPr>
                <w:rFonts w:ascii="Open Sans" w:hAnsi="Open Sans" w:cs="Open Sans"/>
                <w:b/>
                <w:bCs/>
                <w:sz w:val="20"/>
                <w:szCs w:val="20"/>
                <w:lang w:val="en-US"/>
              </w:rPr>
            </w:pPr>
            <w:r w:rsidRPr="003C14DF">
              <w:rPr>
                <w:rFonts w:ascii="Open Sans" w:hAnsi="Open Sans" w:cs="Open Sans"/>
                <w:b/>
                <w:bCs/>
                <w:sz w:val="20"/>
                <w:szCs w:val="20"/>
                <w:lang w:val="en-US"/>
              </w:rPr>
              <w:t>Yes.</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2C336F8C" w:rsidR="00FE20EA" w:rsidRPr="003C14DF" w:rsidRDefault="003F0A99" w:rsidP="00E36F6E">
            <w:pPr>
              <w:rPr>
                <w:rFonts w:ascii="Open Sans" w:hAnsi="Open Sans" w:cs="Open Sans"/>
                <w:b/>
                <w:bCs/>
                <w:sz w:val="20"/>
                <w:szCs w:val="20"/>
                <w:lang w:val="en-US"/>
              </w:rPr>
            </w:pPr>
            <w:r w:rsidRPr="003C14DF">
              <w:rPr>
                <w:rFonts w:ascii="Open Sans" w:hAnsi="Open Sans" w:cs="Open Sans"/>
                <w:b/>
                <w:bCs/>
                <w:sz w:val="20"/>
                <w:szCs w:val="20"/>
                <w:lang w:val="en-US"/>
              </w:rPr>
              <w:t>Yes.</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22301AE9" w:rsidR="00FE20EA" w:rsidRPr="003C14DF" w:rsidRDefault="003F0A99" w:rsidP="00E36F6E">
            <w:pPr>
              <w:rPr>
                <w:rFonts w:ascii="Open Sans" w:hAnsi="Open Sans" w:cs="Open Sans"/>
                <w:b/>
                <w:bCs/>
                <w:sz w:val="20"/>
                <w:szCs w:val="20"/>
                <w:lang w:val="en-US"/>
              </w:rPr>
            </w:pPr>
            <w:r w:rsidRPr="003C14DF">
              <w:rPr>
                <w:rFonts w:ascii="Open Sans" w:hAnsi="Open Sans" w:cs="Open Sans"/>
                <w:b/>
                <w:bCs/>
                <w:sz w:val="20"/>
                <w:szCs w:val="20"/>
                <w:lang w:val="en-US"/>
              </w:rPr>
              <w:t>Yes.</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76704936" w:rsidR="00FE20EA" w:rsidRPr="003C14DF" w:rsidRDefault="003F0A99" w:rsidP="00E36F6E">
            <w:pPr>
              <w:rPr>
                <w:rFonts w:ascii="Open Sans" w:hAnsi="Open Sans" w:cs="Open Sans"/>
                <w:b/>
                <w:bCs/>
                <w:sz w:val="20"/>
                <w:szCs w:val="20"/>
                <w:lang w:val="en-US"/>
              </w:rPr>
            </w:pPr>
            <w:r w:rsidRPr="003C14DF">
              <w:rPr>
                <w:rFonts w:ascii="Open Sans" w:hAnsi="Open Sans" w:cs="Open Sans"/>
                <w:b/>
                <w:bCs/>
                <w:sz w:val="20"/>
                <w:szCs w:val="20"/>
                <w:lang w:val="en-US"/>
              </w:rPr>
              <w:t>Yes, the concept of ‘service potential’ as based on IPSAS is clearly applicable to this case and should be introduced to Section 2.</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60AD13A7" w:rsidR="00FE20EA" w:rsidRPr="003C14DF" w:rsidRDefault="003F0A99" w:rsidP="00E36F6E">
            <w:pPr>
              <w:rPr>
                <w:rFonts w:ascii="Open Sans" w:hAnsi="Open Sans" w:cs="Open Sans"/>
                <w:b/>
                <w:bCs/>
                <w:sz w:val="20"/>
                <w:szCs w:val="20"/>
                <w:lang w:val="en-US"/>
              </w:rPr>
            </w:pPr>
            <w:r w:rsidRPr="003C14DF">
              <w:rPr>
                <w:rFonts w:ascii="Open Sans" w:hAnsi="Open Sans" w:cs="Open Sans"/>
                <w:b/>
                <w:bCs/>
                <w:sz w:val="20"/>
                <w:szCs w:val="20"/>
                <w:lang w:val="en-US"/>
              </w:rPr>
              <w:t>Yes.</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NPO as a reporting entity clear? Does the process for identifying branches in the Application Guidance support the </w:t>
            </w:r>
            <w:r w:rsidRPr="00EB6705">
              <w:rPr>
                <w:rFonts w:ascii="Open Sans" w:hAnsi="Open Sans" w:cs="Open Sans"/>
                <w:sz w:val="20"/>
                <w:szCs w:val="20"/>
                <w:lang w:val="en-US"/>
              </w:rPr>
              <w:lastRenderedPageBreak/>
              <w:t>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lastRenderedPageBreak/>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09A82109" w:rsidR="007A3859" w:rsidRPr="003C14DF" w:rsidRDefault="003F0A99" w:rsidP="007A3859">
            <w:pPr>
              <w:jc w:val="both"/>
              <w:rPr>
                <w:rFonts w:ascii="Open Sans" w:hAnsi="Open Sans" w:cs="Open Sans"/>
                <w:b/>
                <w:bCs/>
                <w:sz w:val="20"/>
                <w:szCs w:val="20"/>
                <w:lang w:val="en-US"/>
              </w:rPr>
            </w:pPr>
            <w:r w:rsidRPr="003C14DF">
              <w:rPr>
                <w:rFonts w:ascii="Open Sans" w:hAnsi="Open Sans" w:cs="Open Sans"/>
                <w:b/>
                <w:bCs/>
                <w:sz w:val="20"/>
                <w:szCs w:val="20"/>
                <w:lang w:val="en-US"/>
              </w:rPr>
              <w:lastRenderedPageBreak/>
              <w:t>Yes.</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77777777" w:rsidR="0054631C" w:rsidRPr="00EB6705" w:rsidRDefault="0054631C" w:rsidP="00FE20EA">
            <w:pPr>
              <w:rPr>
                <w:rFonts w:ascii="Open Sans" w:hAnsi="Open Sans" w:cs="Open Sans"/>
                <w:b/>
                <w:bCs/>
                <w:sz w:val="20"/>
                <w:szCs w:val="20"/>
                <w:lang w:val="en-US"/>
              </w:rPr>
            </w:pP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77777777" w:rsidR="0054631C" w:rsidRPr="00EB6705" w:rsidRDefault="0054631C" w:rsidP="00FE20EA">
            <w:pPr>
              <w:rPr>
                <w:rFonts w:ascii="Open Sans" w:hAnsi="Open Sans" w:cs="Open Sans"/>
                <w:b/>
                <w:bCs/>
                <w:sz w:val="20"/>
                <w:szCs w:val="20"/>
                <w:lang w:val="en-US"/>
              </w:rPr>
            </w:pP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77777777" w:rsidR="00FE20EA" w:rsidRPr="00EB6705" w:rsidRDefault="00FE20EA" w:rsidP="00FE20EA">
            <w:pPr>
              <w:rPr>
                <w:rFonts w:ascii="Open Sans" w:hAnsi="Open Sans" w:cs="Open Sans"/>
                <w:b/>
                <w:bCs/>
                <w:sz w:val="20"/>
                <w:szCs w:val="20"/>
                <w:lang w:val="en-US"/>
              </w:rPr>
            </w:pP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77777777" w:rsidR="0054631C" w:rsidRPr="00EB6705" w:rsidRDefault="0054631C" w:rsidP="0054631C">
            <w:pPr>
              <w:rPr>
                <w:rFonts w:ascii="Open Sans" w:hAnsi="Open Sans" w:cs="Open Sans"/>
                <w:b/>
                <w:bCs/>
                <w:sz w:val="20"/>
                <w:szCs w:val="20"/>
                <w:lang w:val="en-US"/>
              </w:rPr>
            </w:pP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77777777" w:rsidR="0054631C" w:rsidRPr="00EB6705" w:rsidRDefault="0054631C" w:rsidP="0054631C">
            <w:pPr>
              <w:rPr>
                <w:rFonts w:ascii="Open Sans" w:hAnsi="Open Sans" w:cs="Open Sans"/>
                <w:b/>
                <w:bCs/>
                <w:sz w:val="20"/>
                <w:szCs w:val="20"/>
                <w:lang w:val="en-US"/>
              </w:rPr>
            </w:pP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77777777" w:rsidR="00D170DB" w:rsidRPr="00EB6705" w:rsidRDefault="00D170DB" w:rsidP="00D170DB">
            <w:pPr>
              <w:rPr>
                <w:rFonts w:ascii="Open Sans" w:hAnsi="Open Sans" w:cs="Open Sans"/>
                <w:b/>
                <w:bCs/>
                <w:sz w:val="20"/>
                <w:szCs w:val="20"/>
                <w:lang w:val="en-US"/>
              </w:rPr>
            </w:pP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77777777" w:rsidR="00D170DB" w:rsidRPr="00EB6705" w:rsidRDefault="00D170DB" w:rsidP="00D170DB">
            <w:pPr>
              <w:rPr>
                <w:rFonts w:ascii="Open Sans" w:hAnsi="Open Sans" w:cs="Open Sans"/>
                <w:b/>
                <w:bCs/>
                <w:sz w:val="20"/>
                <w:szCs w:val="20"/>
                <w:lang w:val="en-US"/>
              </w:rPr>
            </w:pP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77777777" w:rsidR="00D170DB" w:rsidRPr="00EB6705" w:rsidRDefault="00D170DB" w:rsidP="00D170DB">
            <w:pPr>
              <w:rPr>
                <w:rFonts w:ascii="Open Sans" w:hAnsi="Open Sans" w:cs="Open Sans"/>
                <w:b/>
                <w:bCs/>
                <w:sz w:val="20"/>
                <w:szCs w:val="20"/>
                <w:lang w:val="en-US"/>
              </w:rPr>
            </w:pP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77777777" w:rsidR="00D170DB" w:rsidRPr="00EB6705" w:rsidRDefault="00D170DB" w:rsidP="00D170DB">
            <w:pPr>
              <w:rPr>
                <w:rFonts w:ascii="Open Sans" w:hAnsi="Open Sans" w:cs="Open Sans"/>
                <w:b/>
                <w:bCs/>
                <w:sz w:val="20"/>
                <w:szCs w:val="20"/>
                <w:lang w:val="en-US"/>
              </w:rPr>
            </w:pP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77777777" w:rsidR="005A718A" w:rsidRPr="00EB6705" w:rsidRDefault="005A718A" w:rsidP="005A718A">
            <w:pPr>
              <w:rPr>
                <w:rFonts w:ascii="Open Sans" w:hAnsi="Open Sans" w:cs="Open Sans"/>
                <w:b/>
                <w:bCs/>
                <w:sz w:val="20"/>
                <w:szCs w:val="20"/>
                <w:lang w:val="en-US"/>
              </w:rPr>
            </w:pP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77777777" w:rsidR="005A718A" w:rsidRPr="00EB6705" w:rsidRDefault="005A718A" w:rsidP="005A718A">
            <w:pPr>
              <w:rPr>
                <w:rFonts w:ascii="Open Sans" w:hAnsi="Open Sans" w:cs="Open Sans"/>
                <w:b/>
                <w:bCs/>
                <w:sz w:val="20"/>
                <w:szCs w:val="20"/>
                <w:lang w:val="en-US"/>
              </w:rPr>
            </w:pP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77777777" w:rsidR="000C07D4" w:rsidRPr="00EB6705" w:rsidRDefault="000C07D4" w:rsidP="000C07D4">
            <w:pPr>
              <w:rPr>
                <w:rFonts w:ascii="Open Sans" w:hAnsi="Open Sans" w:cs="Open Sans"/>
                <w:b/>
                <w:bCs/>
                <w:sz w:val="20"/>
                <w:szCs w:val="20"/>
                <w:lang w:val="en-US"/>
              </w:rPr>
            </w:pP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77777777" w:rsidR="000C07D4" w:rsidRPr="00EB6705" w:rsidRDefault="000C07D4" w:rsidP="000C07D4">
            <w:pPr>
              <w:rPr>
                <w:rFonts w:ascii="Open Sans" w:hAnsi="Open Sans" w:cs="Open Sans"/>
                <w:b/>
                <w:bCs/>
                <w:sz w:val="20"/>
                <w:szCs w:val="20"/>
                <w:lang w:val="en-US"/>
              </w:rPr>
            </w:pP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77777777" w:rsidR="000C07D4" w:rsidRPr="00EB6705" w:rsidRDefault="000C07D4" w:rsidP="000C07D4">
            <w:pPr>
              <w:rPr>
                <w:rFonts w:ascii="Open Sans" w:hAnsi="Open Sans" w:cs="Open Sans"/>
                <w:b/>
                <w:bCs/>
                <w:sz w:val="20"/>
                <w:szCs w:val="20"/>
                <w:lang w:val="en-US"/>
              </w:rPr>
            </w:pP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24EE5DA7" w:rsidR="00C8003A" w:rsidRPr="00EB6705" w:rsidRDefault="00ED571F" w:rsidP="00C8003A">
            <w:pPr>
              <w:jc w:val="both"/>
              <w:rPr>
                <w:rFonts w:ascii="Open Sans" w:hAnsi="Open Sans" w:cs="Open Sans"/>
                <w:b/>
                <w:bCs/>
                <w:sz w:val="20"/>
                <w:szCs w:val="20"/>
                <w:lang w:val="en-US"/>
              </w:rPr>
            </w:pPr>
            <w:r w:rsidRPr="003C14DF">
              <w:rPr>
                <w:rFonts w:ascii="Open Sans" w:hAnsi="Open Sans" w:cs="Open Sans"/>
                <w:b/>
                <w:bCs/>
                <w:sz w:val="20"/>
                <w:szCs w:val="20"/>
                <w:lang w:val="en-US"/>
              </w:rPr>
              <w:t>Yes, the approach followed in IFRS for SMEs is sufficient as no additional NPO-specific considerations need to be addressed in this section.</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7A9247E3" w:rsidR="008A350D" w:rsidRPr="00EB6705" w:rsidRDefault="000664C4" w:rsidP="008A350D">
            <w:pPr>
              <w:jc w:val="both"/>
              <w:rPr>
                <w:rFonts w:ascii="Open Sans" w:hAnsi="Open Sans" w:cs="Open Sans"/>
                <w:b/>
                <w:bCs/>
                <w:sz w:val="20"/>
                <w:szCs w:val="20"/>
                <w:lang w:val="nl-NL"/>
              </w:rPr>
            </w:pPr>
            <w:r>
              <w:rPr>
                <w:rFonts w:ascii="Open Sans" w:hAnsi="Open Sans" w:cs="Open Sans"/>
                <w:b/>
                <w:bCs/>
                <w:sz w:val="20"/>
                <w:szCs w:val="20"/>
                <w:lang w:val="nl-NL"/>
              </w:rPr>
              <w:t>Yes, guidance on the</w:t>
            </w:r>
            <w:r w:rsidR="003C14DF">
              <w:rPr>
                <w:rFonts w:ascii="Open Sans" w:hAnsi="Open Sans" w:cs="Open Sans"/>
                <w:b/>
                <w:bCs/>
                <w:sz w:val="20"/>
                <w:szCs w:val="20"/>
                <w:lang w:val="nl-NL"/>
              </w:rPr>
              <w:t xml:space="preserve"> </w:t>
            </w:r>
            <w:r>
              <w:rPr>
                <w:rFonts w:ascii="Open Sans" w:hAnsi="Open Sans" w:cs="Open Sans"/>
                <w:b/>
                <w:bCs/>
                <w:sz w:val="20"/>
                <w:szCs w:val="20"/>
                <w:lang w:val="nl-NL"/>
              </w:rPr>
              <w:t>application of control pr</w:t>
            </w:r>
            <w:r w:rsidR="003C14DF">
              <w:rPr>
                <w:rFonts w:ascii="Open Sans" w:hAnsi="Open Sans" w:cs="Open Sans"/>
                <w:b/>
                <w:bCs/>
                <w:sz w:val="20"/>
                <w:szCs w:val="20"/>
                <w:lang w:val="nl-NL"/>
              </w:rPr>
              <w:t>i</w:t>
            </w:r>
            <w:r>
              <w:rPr>
                <w:rFonts w:ascii="Open Sans" w:hAnsi="Open Sans" w:cs="Open Sans"/>
                <w:b/>
                <w:bCs/>
                <w:sz w:val="20"/>
                <w:szCs w:val="20"/>
                <w:lang w:val="nl-NL"/>
              </w:rPr>
              <w:t>nciples seems sufficient.</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1F446BF1" w:rsidR="008A350D" w:rsidRPr="00EB6705" w:rsidRDefault="00CF325F" w:rsidP="008A350D">
            <w:pPr>
              <w:jc w:val="both"/>
              <w:rPr>
                <w:rFonts w:ascii="Open Sans" w:hAnsi="Open Sans" w:cs="Open Sans"/>
                <w:b/>
                <w:bCs/>
                <w:sz w:val="20"/>
                <w:szCs w:val="20"/>
                <w:lang w:val="nl-NL"/>
              </w:rPr>
            </w:pPr>
            <w:r>
              <w:rPr>
                <w:rFonts w:ascii="Open Sans" w:hAnsi="Open Sans" w:cs="Open Sans"/>
                <w:b/>
                <w:bCs/>
                <w:sz w:val="20"/>
                <w:szCs w:val="20"/>
                <w:lang w:val="nl-NL"/>
              </w:rPr>
              <w:t>Yes. The term</w:t>
            </w:r>
            <w:r w:rsidR="003C14DF">
              <w:rPr>
                <w:rFonts w:ascii="Open Sans" w:hAnsi="Open Sans" w:cs="Open Sans"/>
                <w:b/>
                <w:bCs/>
                <w:sz w:val="20"/>
                <w:szCs w:val="20"/>
                <w:lang w:val="nl-NL"/>
              </w:rPr>
              <w:t xml:space="preserve"> ‘rebuttable presumption’ </w:t>
            </w:r>
            <w:r>
              <w:rPr>
                <w:rFonts w:ascii="Open Sans" w:hAnsi="Open Sans" w:cs="Open Sans"/>
                <w:b/>
                <w:bCs/>
                <w:sz w:val="20"/>
                <w:szCs w:val="20"/>
                <w:lang w:val="nl-NL"/>
              </w:rPr>
              <w:t>, though, could be changed to allow easier understandig by a wider audience (e.g. questionable or refutable presumption could be alternative terms)</w:t>
            </w:r>
            <w:r w:rsidR="003C14DF">
              <w:rPr>
                <w:rFonts w:ascii="Open Sans" w:hAnsi="Open Sans" w:cs="Open Sans"/>
                <w:b/>
                <w:bCs/>
                <w:sz w:val="20"/>
                <w:szCs w:val="20"/>
                <w:lang w:val="nl-NL"/>
              </w:rPr>
              <w:t>.</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0B8B2886" w:rsidR="008A350D" w:rsidRPr="00EB6705" w:rsidRDefault="000664C4" w:rsidP="008A350D">
            <w:pPr>
              <w:jc w:val="both"/>
              <w:rPr>
                <w:rFonts w:ascii="Open Sans" w:hAnsi="Open Sans" w:cs="Open Sans"/>
                <w:b/>
                <w:bCs/>
                <w:sz w:val="20"/>
                <w:szCs w:val="20"/>
                <w:lang w:val="nl-NL"/>
              </w:rPr>
            </w:pPr>
            <w:r>
              <w:rPr>
                <w:rFonts w:ascii="Open Sans" w:hAnsi="Open Sans" w:cs="Open Sans"/>
                <w:b/>
                <w:bCs/>
                <w:sz w:val="20"/>
                <w:szCs w:val="20"/>
                <w:lang w:val="nl-NL"/>
              </w:rPr>
              <w:t xml:space="preserve">Yes, </w:t>
            </w:r>
            <w:r w:rsidR="00CF325F">
              <w:rPr>
                <w:rFonts w:ascii="Open Sans" w:hAnsi="Open Sans" w:cs="Open Sans"/>
                <w:b/>
                <w:bCs/>
                <w:sz w:val="20"/>
                <w:szCs w:val="20"/>
                <w:lang w:val="nl-NL"/>
              </w:rPr>
              <w:t>the two fundamental qualitative characteristics of relevance and faithful representation</w:t>
            </w:r>
            <w:r w:rsidR="003C14DF">
              <w:rPr>
                <w:rFonts w:ascii="Open Sans" w:hAnsi="Open Sans" w:cs="Open Sans"/>
                <w:b/>
                <w:bCs/>
                <w:sz w:val="20"/>
                <w:szCs w:val="20"/>
                <w:lang w:val="nl-NL"/>
              </w:rPr>
              <w:t xml:space="preserve"> that apply to consolidation</w:t>
            </w:r>
            <w:r w:rsidR="00CF325F">
              <w:rPr>
                <w:rFonts w:ascii="Open Sans" w:hAnsi="Open Sans" w:cs="Open Sans"/>
                <w:b/>
                <w:bCs/>
                <w:sz w:val="20"/>
                <w:szCs w:val="20"/>
                <w:lang w:val="nl-NL"/>
              </w:rPr>
              <w:t xml:space="preserve"> are sufficiently explained in the Application Guidance</w:t>
            </w:r>
            <w:r w:rsidR="003C14DF">
              <w:rPr>
                <w:rFonts w:ascii="Open Sans" w:hAnsi="Open Sans" w:cs="Open Sans"/>
                <w:b/>
                <w:bCs/>
                <w:sz w:val="20"/>
                <w:szCs w:val="20"/>
                <w:lang w:val="nl-NL"/>
              </w:rPr>
              <w:t>.</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59F1B6BE" w:rsidR="008A350D" w:rsidRPr="00EB6705" w:rsidRDefault="003C14DF"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3C14DF" w14:paraId="587B30F3" w14:textId="71DD862E" w:rsidTr="00A276B0">
        <w:tc>
          <w:tcPr>
            <w:tcW w:w="4388" w:type="dxa"/>
          </w:tcPr>
          <w:p w14:paraId="6192D17A" w14:textId="6B740B9E" w:rsidR="00D8539B" w:rsidRPr="003C14DF" w:rsidRDefault="00D8539B" w:rsidP="00D8539B">
            <w:pPr>
              <w:numPr>
                <w:ilvl w:val="0"/>
                <w:numId w:val="12"/>
              </w:numPr>
              <w:ind w:left="318"/>
              <w:contextualSpacing/>
              <w:jc w:val="both"/>
              <w:rPr>
                <w:rFonts w:ascii="Open Sans" w:hAnsi="Open Sans" w:cs="Open Sans"/>
                <w:sz w:val="20"/>
                <w:szCs w:val="20"/>
                <w:lang w:val="en-US"/>
              </w:rPr>
            </w:pPr>
            <w:r w:rsidRPr="003C14DF">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3C14DF" w:rsidRDefault="00D8539B" w:rsidP="00D8539B">
            <w:pPr>
              <w:jc w:val="both"/>
              <w:rPr>
                <w:rFonts w:ascii="Open Sans" w:hAnsi="Open Sans" w:cs="Open Sans"/>
                <w:b/>
                <w:bCs/>
                <w:sz w:val="20"/>
                <w:szCs w:val="20"/>
                <w:lang w:val="en-US"/>
              </w:rPr>
            </w:pPr>
          </w:p>
        </w:tc>
        <w:tc>
          <w:tcPr>
            <w:tcW w:w="8282" w:type="dxa"/>
          </w:tcPr>
          <w:p w14:paraId="5A7174F1" w14:textId="5C09DCBB" w:rsidR="00D8539B" w:rsidRPr="003C14DF" w:rsidRDefault="003F10E6" w:rsidP="00D8539B">
            <w:pPr>
              <w:jc w:val="both"/>
              <w:rPr>
                <w:rFonts w:ascii="Open Sans" w:hAnsi="Open Sans" w:cs="Open Sans"/>
                <w:b/>
                <w:bCs/>
                <w:sz w:val="20"/>
                <w:szCs w:val="20"/>
                <w:lang w:val="en-US"/>
              </w:rPr>
            </w:pPr>
            <w:r w:rsidRPr="003C14DF">
              <w:rPr>
                <w:rFonts w:ascii="Open Sans" w:hAnsi="Open Sans" w:cs="Open Sans"/>
                <w:b/>
                <w:bCs/>
                <w:sz w:val="20"/>
                <w:szCs w:val="20"/>
                <w:lang w:val="en-US"/>
              </w:rPr>
              <w:t>Yes</w:t>
            </w:r>
            <w:r w:rsidR="000664C4" w:rsidRPr="003C14DF">
              <w:rPr>
                <w:rFonts w:ascii="Open Sans" w:hAnsi="Open Sans" w:cs="Open Sans"/>
                <w:b/>
                <w:bCs/>
                <w:sz w:val="20"/>
                <w:szCs w:val="20"/>
                <w:lang w:val="en-US"/>
              </w:rPr>
              <w:t xml:space="preserve">, the approach followed in IFRS for SMEs is sufficient as no additional NPO-specific considerations need to be addressed in this section. </w:t>
            </w:r>
          </w:p>
        </w:tc>
      </w:tr>
    </w:tbl>
    <w:p w14:paraId="6D13A06C" w14:textId="18F37165" w:rsidR="001C3A48" w:rsidRPr="003C14DF"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3C14DF" w14:paraId="2533EAC8" w14:textId="77777777" w:rsidTr="002766D7">
        <w:tc>
          <w:tcPr>
            <w:tcW w:w="4388" w:type="dxa"/>
          </w:tcPr>
          <w:p w14:paraId="4C430349" w14:textId="5B144CFA" w:rsidR="00907EE8" w:rsidRPr="003C14DF" w:rsidRDefault="00907EE8" w:rsidP="002C5B7D">
            <w:pPr>
              <w:jc w:val="both"/>
              <w:rPr>
                <w:rFonts w:ascii="Open Sans" w:hAnsi="Open Sans" w:cs="Open Sans"/>
                <w:b/>
                <w:bCs/>
                <w:sz w:val="20"/>
                <w:szCs w:val="20"/>
                <w:lang w:val="en-US"/>
              </w:rPr>
            </w:pPr>
            <w:r w:rsidRPr="003C14DF">
              <w:rPr>
                <w:rFonts w:ascii="Open Sans" w:hAnsi="Open Sans" w:cs="Open Sans"/>
                <w:b/>
                <w:bCs/>
                <w:sz w:val="20"/>
                <w:szCs w:val="20"/>
                <w:lang w:val="en-US"/>
              </w:rPr>
              <w:t xml:space="preserve">Question 12: Scope and content of narrative reporting </w:t>
            </w:r>
          </w:p>
          <w:p w14:paraId="102071DB" w14:textId="41E1F118" w:rsidR="00907EE8" w:rsidRPr="003C14DF"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3C14DF" w:rsidRDefault="004933C9" w:rsidP="00675790">
            <w:pPr>
              <w:pStyle w:val="TableParagraph"/>
              <w:ind w:left="0" w:right="204"/>
              <w:rPr>
                <w:rFonts w:ascii="Open Sans" w:hAnsi="Open Sans" w:cs="Open Sans"/>
                <w:b/>
                <w:bCs/>
                <w:sz w:val="20"/>
                <w:szCs w:val="20"/>
              </w:rPr>
            </w:pPr>
            <w:r w:rsidRPr="003C14DF">
              <w:rPr>
                <w:rFonts w:ascii="Open Sans" w:hAnsi="Open Sans" w:cs="Open Sans"/>
                <w:sz w:val="20"/>
                <w:szCs w:val="20"/>
              </w:rPr>
              <w:t>This is a new Section that has been written specifically for NPOs.</w:t>
            </w:r>
            <w:r w:rsidRPr="003C14DF">
              <w:rPr>
                <w:rFonts w:ascii="Open Sans" w:hAnsi="Open Sans" w:cs="Open Sans"/>
                <w:spacing w:val="40"/>
                <w:sz w:val="20"/>
                <w:szCs w:val="20"/>
              </w:rPr>
              <w:t xml:space="preserve"> </w:t>
            </w:r>
            <w:r w:rsidRPr="003C14DF">
              <w:rPr>
                <w:rFonts w:ascii="Open Sans" w:hAnsi="Open Sans" w:cs="Open Sans"/>
                <w:sz w:val="20"/>
                <w:szCs w:val="20"/>
              </w:rPr>
              <w:t>It</w:t>
            </w:r>
            <w:r w:rsidRPr="003C14DF">
              <w:rPr>
                <w:rFonts w:ascii="Open Sans" w:hAnsi="Open Sans" w:cs="Open Sans"/>
                <w:spacing w:val="11"/>
                <w:sz w:val="20"/>
                <w:szCs w:val="20"/>
              </w:rPr>
              <w:t xml:space="preserve"> </w:t>
            </w:r>
            <w:r w:rsidRPr="003C14DF">
              <w:rPr>
                <w:rFonts w:ascii="Open Sans" w:hAnsi="Open Sans" w:cs="Open Sans"/>
                <w:sz w:val="20"/>
                <w:szCs w:val="20"/>
              </w:rPr>
              <w:t>sets</w:t>
            </w:r>
            <w:r w:rsidRPr="003C14DF">
              <w:rPr>
                <w:rFonts w:ascii="Open Sans" w:hAnsi="Open Sans" w:cs="Open Sans"/>
                <w:spacing w:val="13"/>
                <w:sz w:val="20"/>
                <w:szCs w:val="20"/>
              </w:rPr>
              <w:t xml:space="preserve"> </w:t>
            </w:r>
            <w:r w:rsidRPr="003C14DF">
              <w:rPr>
                <w:rFonts w:ascii="Open Sans" w:hAnsi="Open Sans" w:cs="Open Sans"/>
                <w:sz w:val="20"/>
                <w:szCs w:val="20"/>
              </w:rPr>
              <w:t>out</w:t>
            </w:r>
            <w:r w:rsidRPr="003C14DF">
              <w:rPr>
                <w:rFonts w:ascii="Open Sans" w:hAnsi="Open Sans" w:cs="Open Sans"/>
                <w:spacing w:val="11"/>
                <w:sz w:val="20"/>
                <w:szCs w:val="20"/>
              </w:rPr>
              <w:t xml:space="preserve"> </w:t>
            </w:r>
            <w:r w:rsidRPr="003C14DF">
              <w:rPr>
                <w:rFonts w:ascii="Open Sans" w:hAnsi="Open Sans" w:cs="Open Sans"/>
                <w:sz w:val="20"/>
                <w:szCs w:val="20"/>
              </w:rPr>
              <w:t>the</w:t>
            </w:r>
            <w:r w:rsidRPr="003C14DF">
              <w:rPr>
                <w:rFonts w:ascii="Open Sans" w:hAnsi="Open Sans" w:cs="Open Sans"/>
                <w:spacing w:val="13"/>
                <w:sz w:val="20"/>
                <w:szCs w:val="20"/>
              </w:rPr>
              <w:t xml:space="preserve"> </w:t>
            </w:r>
            <w:r w:rsidRPr="003C14DF">
              <w:rPr>
                <w:rFonts w:ascii="Open Sans" w:hAnsi="Open Sans" w:cs="Open Sans"/>
                <w:sz w:val="20"/>
                <w:szCs w:val="20"/>
              </w:rPr>
              <w:t>principles</w:t>
            </w:r>
            <w:r w:rsidRPr="003C14DF">
              <w:rPr>
                <w:rFonts w:ascii="Open Sans" w:hAnsi="Open Sans" w:cs="Open Sans"/>
                <w:spacing w:val="14"/>
                <w:sz w:val="20"/>
                <w:szCs w:val="20"/>
              </w:rPr>
              <w:t xml:space="preserve"> </w:t>
            </w:r>
            <w:r w:rsidRPr="003C14DF">
              <w:rPr>
                <w:rFonts w:ascii="Open Sans" w:hAnsi="Open Sans" w:cs="Open Sans"/>
                <w:sz w:val="20"/>
                <w:szCs w:val="20"/>
              </w:rPr>
              <w:t>for</w:t>
            </w:r>
            <w:r w:rsidRPr="003C14DF">
              <w:rPr>
                <w:rFonts w:ascii="Open Sans" w:hAnsi="Open Sans" w:cs="Open Sans"/>
                <w:spacing w:val="12"/>
                <w:sz w:val="20"/>
                <w:szCs w:val="20"/>
              </w:rPr>
              <w:t xml:space="preserve"> </w:t>
            </w:r>
            <w:r w:rsidRPr="003C14DF">
              <w:rPr>
                <w:rFonts w:ascii="Open Sans" w:hAnsi="Open Sans" w:cs="Open Sans"/>
                <w:sz w:val="20"/>
                <w:szCs w:val="20"/>
              </w:rPr>
              <w:t>narrative</w:t>
            </w:r>
            <w:r w:rsidRPr="003C14DF">
              <w:rPr>
                <w:rFonts w:ascii="Open Sans" w:hAnsi="Open Sans" w:cs="Open Sans"/>
                <w:spacing w:val="12"/>
                <w:sz w:val="20"/>
                <w:szCs w:val="20"/>
              </w:rPr>
              <w:t xml:space="preserve"> </w:t>
            </w:r>
            <w:r w:rsidRPr="003C14DF">
              <w:rPr>
                <w:rFonts w:ascii="Open Sans" w:hAnsi="Open Sans" w:cs="Open Sans"/>
                <w:sz w:val="20"/>
                <w:szCs w:val="20"/>
              </w:rPr>
              <w:t>reporting,</w:t>
            </w:r>
            <w:r w:rsidRPr="003C14DF">
              <w:rPr>
                <w:rFonts w:ascii="Open Sans" w:hAnsi="Open Sans" w:cs="Open Sans"/>
                <w:spacing w:val="14"/>
                <w:sz w:val="20"/>
                <w:szCs w:val="20"/>
              </w:rPr>
              <w:t xml:space="preserve"> </w:t>
            </w:r>
            <w:r w:rsidRPr="003C14DF">
              <w:rPr>
                <w:rFonts w:ascii="Open Sans" w:hAnsi="Open Sans" w:cs="Open Sans"/>
                <w:sz w:val="20"/>
                <w:szCs w:val="20"/>
              </w:rPr>
              <w:t>including</w:t>
            </w:r>
            <w:r w:rsidRPr="003C14DF">
              <w:rPr>
                <w:rFonts w:ascii="Open Sans" w:hAnsi="Open Sans" w:cs="Open Sans"/>
                <w:spacing w:val="14"/>
                <w:sz w:val="20"/>
                <w:szCs w:val="20"/>
              </w:rPr>
              <w:t xml:space="preserve"> </w:t>
            </w:r>
            <w:r w:rsidRPr="003C14DF">
              <w:rPr>
                <w:rFonts w:ascii="Open Sans" w:hAnsi="Open Sans" w:cs="Open Sans"/>
                <w:sz w:val="20"/>
                <w:szCs w:val="20"/>
              </w:rPr>
              <w:t>the</w:t>
            </w:r>
            <w:r w:rsidRPr="003C14DF">
              <w:rPr>
                <w:rFonts w:ascii="Open Sans" w:hAnsi="Open Sans" w:cs="Open Sans"/>
                <w:spacing w:val="12"/>
                <w:sz w:val="20"/>
                <w:szCs w:val="20"/>
              </w:rPr>
              <w:t xml:space="preserve"> </w:t>
            </w:r>
            <w:r w:rsidRPr="003C14DF">
              <w:rPr>
                <w:rFonts w:ascii="Open Sans" w:hAnsi="Open Sans" w:cs="Open Sans"/>
                <w:sz w:val="20"/>
                <w:szCs w:val="20"/>
              </w:rPr>
              <w:t>qualitative</w:t>
            </w:r>
            <w:r w:rsidRPr="003C14DF">
              <w:rPr>
                <w:rFonts w:ascii="Open Sans" w:hAnsi="Open Sans" w:cs="Open Sans"/>
                <w:spacing w:val="13"/>
                <w:sz w:val="20"/>
                <w:szCs w:val="20"/>
              </w:rPr>
              <w:t xml:space="preserve"> </w:t>
            </w:r>
            <w:r w:rsidRPr="003C14DF">
              <w:rPr>
                <w:rFonts w:ascii="Open Sans" w:hAnsi="Open Sans" w:cs="Open Sans"/>
                <w:sz w:val="20"/>
                <w:szCs w:val="20"/>
              </w:rPr>
              <w:t>characteristics</w:t>
            </w:r>
            <w:r w:rsidRPr="003C14DF">
              <w:rPr>
                <w:rFonts w:ascii="Open Sans" w:hAnsi="Open Sans" w:cs="Open Sans"/>
                <w:spacing w:val="14"/>
                <w:sz w:val="20"/>
                <w:szCs w:val="20"/>
              </w:rPr>
              <w:t xml:space="preserve"> </w:t>
            </w:r>
            <w:r w:rsidRPr="003C14DF">
              <w:rPr>
                <w:rFonts w:ascii="Open Sans" w:hAnsi="Open Sans" w:cs="Open Sans"/>
                <w:sz w:val="20"/>
                <w:szCs w:val="20"/>
              </w:rPr>
              <w:t>of</w:t>
            </w:r>
            <w:r w:rsidRPr="003C14DF">
              <w:rPr>
                <w:rFonts w:ascii="Open Sans" w:hAnsi="Open Sans" w:cs="Open Sans"/>
                <w:spacing w:val="12"/>
                <w:sz w:val="20"/>
                <w:szCs w:val="20"/>
              </w:rPr>
              <w:t xml:space="preserve"> </w:t>
            </w:r>
            <w:r w:rsidRPr="003C14DF">
              <w:rPr>
                <w:rFonts w:ascii="Open Sans" w:hAnsi="Open Sans" w:cs="Open Sans"/>
                <w:sz w:val="20"/>
                <w:szCs w:val="20"/>
              </w:rPr>
              <w:t>the</w:t>
            </w:r>
            <w:r w:rsidRPr="003C14DF">
              <w:rPr>
                <w:rFonts w:ascii="Open Sans" w:hAnsi="Open Sans" w:cs="Open Sans"/>
                <w:spacing w:val="12"/>
                <w:sz w:val="20"/>
                <w:szCs w:val="20"/>
              </w:rPr>
              <w:t xml:space="preserve"> </w:t>
            </w:r>
            <w:r w:rsidRPr="003C14DF">
              <w:rPr>
                <w:rFonts w:ascii="Open Sans" w:hAnsi="Open Sans" w:cs="Open Sans"/>
                <w:sz w:val="20"/>
                <w:szCs w:val="20"/>
              </w:rPr>
              <w:t>information</w:t>
            </w:r>
            <w:r w:rsidRPr="003C14DF">
              <w:rPr>
                <w:rFonts w:ascii="Open Sans" w:hAnsi="Open Sans" w:cs="Open Sans"/>
                <w:spacing w:val="14"/>
                <w:sz w:val="20"/>
                <w:szCs w:val="20"/>
              </w:rPr>
              <w:t xml:space="preserve"> </w:t>
            </w:r>
            <w:r w:rsidRPr="003C14DF">
              <w:rPr>
                <w:rFonts w:ascii="Open Sans" w:hAnsi="Open Sans" w:cs="Open Sans"/>
                <w:spacing w:val="-5"/>
                <w:sz w:val="20"/>
                <w:szCs w:val="20"/>
              </w:rPr>
              <w:t>to</w:t>
            </w:r>
            <w:r w:rsidR="00CC2D7B" w:rsidRPr="003C14DF">
              <w:rPr>
                <w:rFonts w:ascii="Open Sans" w:hAnsi="Open Sans" w:cs="Open Sans"/>
                <w:spacing w:val="-5"/>
                <w:sz w:val="20"/>
                <w:szCs w:val="20"/>
              </w:rPr>
              <w:t xml:space="preserve"> </w:t>
            </w:r>
            <w:r w:rsidRPr="003C14DF">
              <w:rPr>
                <w:rFonts w:ascii="Open Sans" w:hAnsi="Open Sans" w:cs="Open Sans"/>
                <w:sz w:val="20"/>
                <w:szCs w:val="20"/>
              </w:rPr>
              <w:t>be included in the reports.</w:t>
            </w:r>
            <w:r w:rsidRPr="003C14DF">
              <w:rPr>
                <w:rFonts w:ascii="Open Sans" w:hAnsi="Open Sans" w:cs="Open Sans"/>
                <w:spacing w:val="80"/>
                <w:sz w:val="20"/>
                <w:szCs w:val="20"/>
              </w:rPr>
              <w:t xml:space="preserve"> </w:t>
            </w:r>
            <w:r w:rsidR="00FD06CA" w:rsidRPr="003C14DF">
              <w:rPr>
                <w:rFonts w:ascii="Open Sans" w:hAnsi="Open Sans" w:cs="Open Sans"/>
                <w:sz w:val="20"/>
                <w:szCs w:val="20"/>
              </w:rPr>
              <w:t>It</w:t>
            </w:r>
            <w:r w:rsidRPr="003C14DF">
              <w:rPr>
                <w:rFonts w:ascii="Open Sans" w:hAnsi="Open Sans" w:cs="Open Sans"/>
                <w:sz w:val="20"/>
                <w:szCs w:val="20"/>
              </w:rPr>
              <w:t xml:space="preserve"> mandates the requirement for financial analysis and performance information to be included in general purpose financial reports.</w:t>
            </w:r>
            <w:r w:rsidRPr="003C14DF">
              <w:rPr>
                <w:rFonts w:ascii="Open Sans" w:hAnsi="Open Sans" w:cs="Open Sans"/>
                <w:spacing w:val="80"/>
                <w:sz w:val="20"/>
                <w:szCs w:val="20"/>
              </w:rPr>
              <w:t xml:space="preserve"> </w:t>
            </w:r>
            <w:r w:rsidRPr="003C14DF">
              <w:rPr>
                <w:rFonts w:ascii="Open Sans" w:hAnsi="Open Sans" w:cs="Open Sans"/>
                <w:sz w:val="20"/>
                <w:szCs w:val="20"/>
              </w:rPr>
              <w:t>It leaves as optional any additional information that an NPO may wish to report on, such as sustainability reporting.</w:t>
            </w:r>
            <w:r w:rsidR="00057570" w:rsidRPr="003C14DF">
              <w:rPr>
                <w:rFonts w:ascii="Open Sans" w:hAnsi="Open Sans" w:cs="Open Sans"/>
                <w:sz w:val="20"/>
                <w:szCs w:val="20"/>
              </w:rPr>
              <w:t xml:space="preserve"> </w:t>
            </w:r>
            <w:r w:rsidRPr="003C14DF">
              <w:rPr>
                <w:rFonts w:ascii="Open Sans" w:hAnsi="Open Sans" w:cs="Open Sans"/>
                <w:w w:val="105"/>
                <w:sz w:val="20"/>
                <w:szCs w:val="20"/>
              </w:rPr>
              <w:t>It</w:t>
            </w:r>
            <w:r w:rsidRPr="003C14DF">
              <w:rPr>
                <w:rFonts w:ascii="Open Sans" w:hAnsi="Open Sans" w:cs="Open Sans"/>
                <w:spacing w:val="-9"/>
                <w:w w:val="105"/>
                <w:sz w:val="20"/>
                <w:szCs w:val="20"/>
              </w:rPr>
              <w:t xml:space="preserve"> </w:t>
            </w:r>
            <w:r w:rsidRPr="003C14DF">
              <w:rPr>
                <w:rFonts w:ascii="Open Sans" w:hAnsi="Open Sans" w:cs="Open Sans"/>
                <w:w w:val="105"/>
                <w:sz w:val="20"/>
                <w:szCs w:val="20"/>
              </w:rPr>
              <w:t>includes</w:t>
            </w:r>
            <w:r w:rsidRPr="003C14DF">
              <w:rPr>
                <w:rFonts w:ascii="Open Sans" w:hAnsi="Open Sans" w:cs="Open Sans"/>
                <w:spacing w:val="-7"/>
                <w:w w:val="105"/>
                <w:sz w:val="20"/>
                <w:szCs w:val="20"/>
              </w:rPr>
              <w:t xml:space="preserve"> </w:t>
            </w:r>
            <w:r w:rsidRPr="003C14DF">
              <w:rPr>
                <w:rFonts w:ascii="Open Sans" w:hAnsi="Open Sans" w:cs="Open Sans"/>
                <w:w w:val="105"/>
                <w:sz w:val="20"/>
                <w:szCs w:val="20"/>
              </w:rPr>
              <w:t>a</w:t>
            </w:r>
            <w:r w:rsidR="0053637E" w:rsidRPr="003C14DF">
              <w:rPr>
                <w:rFonts w:ascii="Open Sans" w:hAnsi="Open Sans" w:cs="Open Sans"/>
                <w:w w:val="105"/>
                <w:sz w:val="20"/>
                <w:szCs w:val="20"/>
              </w:rPr>
              <w:t>n</w:t>
            </w:r>
            <w:r w:rsidRPr="003C14DF">
              <w:rPr>
                <w:rFonts w:ascii="Open Sans" w:hAnsi="Open Sans" w:cs="Open Sans"/>
                <w:spacing w:val="-6"/>
                <w:w w:val="105"/>
                <w:sz w:val="20"/>
                <w:szCs w:val="20"/>
              </w:rPr>
              <w:t xml:space="preserve"> </w:t>
            </w:r>
            <w:r w:rsidRPr="003C14DF">
              <w:rPr>
                <w:rFonts w:ascii="Open Sans" w:hAnsi="Open Sans" w:cs="Open Sans"/>
                <w:w w:val="105"/>
                <w:sz w:val="20"/>
                <w:szCs w:val="20"/>
              </w:rPr>
              <w:t>exception,</w:t>
            </w:r>
            <w:r w:rsidRPr="003C14DF">
              <w:rPr>
                <w:rFonts w:ascii="Open Sans" w:hAnsi="Open Sans" w:cs="Open Sans"/>
                <w:spacing w:val="-7"/>
                <w:w w:val="105"/>
                <w:sz w:val="20"/>
                <w:szCs w:val="20"/>
              </w:rPr>
              <w:t xml:space="preserve"> </w:t>
            </w:r>
            <w:r w:rsidRPr="003C14DF">
              <w:rPr>
                <w:rFonts w:ascii="Open Sans" w:hAnsi="Open Sans" w:cs="Open Sans"/>
                <w:w w:val="105"/>
                <w:sz w:val="20"/>
                <w:szCs w:val="20"/>
              </w:rPr>
              <w:t>where</w:t>
            </w:r>
            <w:r w:rsidRPr="003C14DF">
              <w:rPr>
                <w:rFonts w:ascii="Open Sans" w:hAnsi="Open Sans" w:cs="Open Sans"/>
                <w:spacing w:val="-8"/>
                <w:w w:val="105"/>
                <w:sz w:val="20"/>
                <w:szCs w:val="20"/>
              </w:rPr>
              <w:t xml:space="preserve"> </w:t>
            </w:r>
            <w:r w:rsidRPr="003C14DF">
              <w:rPr>
                <w:rFonts w:ascii="Open Sans" w:hAnsi="Open Sans" w:cs="Open Sans"/>
                <w:w w:val="105"/>
                <w:sz w:val="20"/>
                <w:szCs w:val="20"/>
              </w:rPr>
              <w:t>information</w:t>
            </w:r>
            <w:r w:rsidRPr="003C14DF">
              <w:rPr>
                <w:rFonts w:ascii="Open Sans" w:hAnsi="Open Sans" w:cs="Open Sans"/>
                <w:spacing w:val="-7"/>
                <w:w w:val="105"/>
                <w:sz w:val="20"/>
                <w:szCs w:val="20"/>
              </w:rPr>
              <w:t xml:space="preserve"> </w:t>
            </w:r>
            <w:r w:rsidRPr="003C14DF">
              <w:rPr>
                <w:rFonts w:ascii="Open Sans" w:hAnsi="Open Sans" w:cs="Open Sans"/>
                <w:w w:val="105"/>
                <w:sz w:val="20"/>
                <w:szCs w:val="20"/>
              </w:rPr>
              <w:t>might</w:t>
            </w:r>
            <w:r w:rsidRPr="003C14DF">
              <w:rPr>
                <w:rFonts w:ascii="Open Sans" w:hAnsi="Open Sans" w:cs="Open Sans"/>
                <w:spacing w:val="-9"/>
                <w:w w:val="105"/>
                <w:sz w:val="20"/>
                <w:szCs w:val="20"/>
              </w:rPr>
              <w:t xml:space="preserve"> </w:t>
            </w:r>
            <w:r w:rsidRPr="003C14DF">
              <w:rPr>
                <w:rFonts w:ascii="Open Sans" w:hAnsi="Open Sans" w:cs="Open Sans"/>
                <w:w w:val="105"/>
                <w:sz w:val="20"/>
                <w:szCs w:val="20"/>
              </w:rPr>
              <w:t xml:space="preserve">be </w:t>
            </w:r>
            <w:r w:rsidRPr="003C14DF">
              <w:rPr>
                <w:rFonts w:ascii="Open Sans" w:hAnsi="Open Sans" w:cs="Open Sans"/>
                <w:sz w:val="20"/>
                <w:szCs w:val="20"/>
              </w:rPr>
              <w:t xml:space="preserve">prejudicial to the operation of the NPO and the safety of its staff and </w:t>
            </w:r>
            <w:r w:rsidRPr="003C14DF">
              <w:rPr>
                <w:rFonts w:ascii="Open Sans" w:hAnsi="Open Sans" w:cs="Open Sans"/>
                <w:spacing w:val="-2"/>
                <w:w w:val="105"/>
                <w:sz w:val="20"/>
                <w:szCs w:val="20"/>
              </w:rPr>
              <w:t>volunteers.</w:t>
            </w:r>
          </w:p>
        </w:tc>
      </w:tr>
      <w:tr w:rsidR="002C5B7D" w:rsidRPr="003C14DF" w14:paraId="24204B0A" w14:textId="77777777" w:rsidTr="00A276B0">
        <w:tc>
          <w:tcPr>
            <w:tcW w:w="4388" w:type="dxa"/>
          </w:tcPr>
          <w:p w14:paraId="7B803BFE" w14:textId="77777777" w:rsidR="002C5B7D" w:rsidRPr="003C14DF" w:rsidRDefault="002C5B7D" w:rsidP="002C5B7D">
            <w:pPr>
              <w:jc w:val="both"/>
              <w:rPr>
                <w:rFonts w:ascii="Open Sans" w:hAnsi="Open Sans" w:cs="Open Sans"/>
                <w:b/>
                <w:bCs/>
                <w:sz w:val="20"/>
                <w:szCs w:val="20"/>
              </w:rPr>
            </w:pPr>
          </w:p>
        </w:tc>
        <w:tc>
          <w:tcPr>
            <w:tcW w:w="1642" w:type="dxa"/>
          </w:tcPr>
          <w:p w14:paraId="018A86AC" w14:textId="76B6F2B0" w:rsidR="002C5B7D" w:rsidRPr="003C14DF" w:rsidRDefault="002C5B7D" w:rsidP="002C5B7D">
            <w:pPr>
              <w:rPr>
                <w:rFonts w:ascii="Open Sans" w:hAnsi="Open Sans" w:cs="Open Sans"/>
                <w:b/>
                <w:bCs/>
                <w:sz w:val="20"/>
                <w:szCs w:val="20"/>
                <w:lang w:val="en-US"/>
              </w:rPr>
            </w:pPr>
            <w:r w:rsidRPr="003C14DF">
              <w:rPr>
                <w:rFonts w:ascii="Open Sans" w:hAnsi="Open Sans" w:cs="Open Sans"/>
                <w:b/>
                <w:bCs/>
                <w:sz w:val="20"/>
                <w:szCs w:val="20"/>
                <w:lang w:val="en-US"/>
              </w:rPr>
              <w:t>References</w:t>
            </w:r>
          </w:p>
        </w:tc>
        <w:tc>
          <w:tcPr>
            <w:tcW w:w="8282" w:type="dxa"/>
          </w:tcPr>
          <w:p w14:paraId="3A5D30A7" w14:textId="638936A8" w:rsidR="002C5B7D" w:rsidRPr="003C14DF" w:rsidRDefault="002C5B7D" w:rsidP="002C5B7D">
            <w:pPr>
              <w:rPr>
                <w:rFonts w:ascii="Open Sans" w:hAnsi="Open Sans" w:cs="Open Sans"/>
                <w:b/>
                <w:bCs/>
                <w:sz w:val="20"/>
                <w:szCs w:val="20"/>
                <w:lang w:val="en-US"/>
              </w:rPr>
            </w:pPr>
            <w:r w:rsidRPr="003C14DF">
              <w:rPr>
                <w:rFonts w:ascii="Open Sans" w:hAnsi="Open Sans" w:cs="Open Sans"/>
                <w:b/>
                <w:bCs/>
                <w:sz w:val="20"/>
                <w:szCs w:val="20"/>
                <w:lang w:val="en-US"/>
              </w:rPr>
              <w:t>Responses</w:t>
            </w:r>
          </w:p>
        </w:tc>
      </w:tr>
      <w:tr w:rsidR="00907EE8" w:rsidRPr="003C14DF" w14:paraId="4A124EF3" w14:textId="77777777" w:rsidTr="00A276B0">
        <w:tc>
          <w:tcPr>
            <w:tcW w:w="4388" w:type="dxa"/>
          </w:tcPr>
          <w:p w14:paraId="19AD3BD4" w14:textId="7154A9B9" w:rsidR="00907EE8" w:rsidRPr="003C14DF" w:rsidRDefault="00907EE8" w:rsidP="002C5B7D">
            <w:pPr>
              <w:numPr>
                <w:ilvl w:val="0"/>
                <w:numId w:val="10"/>
              </w:numPr>
              <w:ind w:left="318"/>
              <w:contextualSpacing/>
              <w:jc w:val="both"/>
              <w:rPr>
                <w:rFonts w:ascii="Open Sans" w:hAnsi="Open Sans" w:cs="Open Sans"/>
                <w:sz w:val="20"/>
                <w:szCs w:val="20"/>
                <w:lang w:val="en-US"/>
              </w:rPr>
            </w:pPr>
            <w:r w:rsidRPr="003C14DF">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3C14DF" w:rsidRDefault="00907EE8" w:rsidP="00907EE8">
            <w:pPr>
              <w:pStyle w:val="paragraph"/>
              <w:spacing w:before="0" w:beforeAutospacing="0" w:after="0" w:afterAutospacing="0"/>
              <w:textAlignment w:val="baseline"/>
              <w:rPr>
                <w:rFonts w:ascii="Open Sans" w:hAnsi="Open Sans" w:cs="Open Sans"/>
                <w:sz w:val="20"/>
                <w:szCs w:val="20"/>
              </w:rPr>
            </w:pPr>
            <w:r w:rsidRPr="003C14DF">
              <w:rPr>
                <w:rStyle w:val="normaltextrun"/>
                <w:rFonts w:ascii="Open Sans" w:hAnsi="Open Sans" w:cs="Open Sans"/>
                <w:sz w:val="20"/>
                <w:szCs w:val="20"/>
                <w:lang w:val="en-US"/>
              </w:rPr>
              <w:t>G35.3-G35.7</w:t>
            </w:r>
            <w:r w:rsidRPr="003C14DF">
              <w:rPr>
                <w:rStyle w:val="eop"/>
                <w:rFonts w:ascii="Open Sans" w:hAnsi="Open Sans" w:cs="Open Sans"/>
                <w:sz w:val="20"/>
                <w:szCs w:val="20"/>
              </w:rPr>
              <w:t> </w:t>
            </w:r>
          </w:p>
          <w:p w14:paraId="25DCF25C" w14:textId="77777777" w:rsidR="00907EE8" w:rsidRPr="003C14DF" w:rsidRDefault="00907EE8" w:rsidP="002C5B7D">
            <w:pPr>
              <w:rPr>
                <w:rFonts w:ascii="Open Sans" w:hAnsi="Open Sans" w:cs="Open Sans"/>
                <w:sz w:val="20"/>
                <w:szCs w:val="20"/>
                <w:lang w:val="en-US"/>
              </w:rPr>
            </w:pPr>
          </w:p>
        </w:tc>
        <w:tc>
          <w:tcPr>
            <w:tcW w:w="8282" w:type="dxa"/>
          </w:tcPr>
          <w:p w14:paraId="284A6BB2" w14:textId="71D53377" w:rsidR="00907EE8" w:rsidRPr="003C14DF" w:rsidRDefault="00665B73" w:rsidP="002C5B7D">
            <w:pPr>
              <w:rPr>
                <w:rFonts w:ascii="Open Sans" w:hAnsi="Open Sans" w:cs="Open Sans"/>
                <w:b/>
                <w:bCs/>
                <w:sz w:val="20"/>
                <w:szCs w:val="20"/>
                <w:lang w:val="en-US"/>
              </w:rPr>
            </w:pPr>
            <w:r w:rsidRPr="003C14DF">
              <w:rPr>
                <w:rFonts w:ascii="Open Sans" w:hAnsi="Open Sans" w:cs="Open Sans"/>
                <w:b/>
                <w:bCs/>
                <w:sz w:val="20"/>
                <w:szCs w:val="20"/>
                <w:lang w:val="en-US"/>
              </w:rPr>
              <w:t xml:space="preserve">Yes. The principles proposed are clear and </w:t>
            </w:r>
            <w:r w:rsidR="005539B3" w:rsidRPr="003C14DF">
              <w:rPr>
                <w:rFonts w:ascii="Open Sans" w:hAnsi="Open Sans" w:cs="Open Sans"/>
                <w:b/>
                <w:bCs/>
                <w:sz w:val="20"/>
                <w:szCs w:val="20"/>
                <w:lang w:val="en-US"/>
              </w:rPr>
              <w:t>promote the</w:t>
            </w:r>
            <w:r w:rsidRPr="003C14DF">
              <w:rPr>
                <w:rFonts w:ascii="Open Sans" w:hAnsi="Open Sans" w:cs="Open Sans"/>
                <w:b/>
                <w:bCs/>
                <w:sz w:val="20"/>
                <w:szCs w:val="20"/>
                <w:lang w:val="en-US"/>
              </w:rPr>
              <w:t xml:space="preserve"> </w:t>
            </w:r>
            <w:r w:rsidR="007C1B10" w:rsidRPr="003C14DF">
              <w:rPr>
                <w:rFonts w:ascii="Open Sans" w:hAnsi="Open Sans" w:cs="Open Sans"/>
                <w:b/>
                <w:bCs/>
                <w:sz w:val="20"/>
                <w:szCs w:val="20"/>
                <w:lang w:val="en-US"/>
              </w:rPr>
              <w:t xml:space="preserve">inclusion of information </w:t>
            </w:r>
            <w:r w:rsidRPr="003C14DF">
              <w:rPr>
                <w:rFonts w:ascii="Open Sans" w:hAnsi="Open Sans" w:cs="Open Sans"/>
                <w:b/>
                <w:bCs/>
                <w:sz w:val="20"/>
                <w:szCs w:val="20"/>
                <w:lang w:val="en-US"/>
              </w:rPr>
              <w:t>useful</w:t>
            </w:r>
            <w:r w:rsidR="007C1B10" w:rsidRPr="003C14DF">
              <w:rPr>
                <w:rFonts w:ascii="Open Sans" w:hAnsi="Open Sans" w:cs="Open Sans"/>
                <w:b/>
                <w:bCs/>
                <w:sz w:val="20"/>
                <w:szCs w:val="20"/>
                <w:lang w:val="en-US"/>
              </w:rPr>
              <w:t xml:space="preserve"> to users of the NPO’s general purpose financial report.</w:t>
            </w:r>
            <w:r w:rsidR="005539B3" w:rsidRPr="003C14DF">
              <w:rPr>
                <w:rFonts w:ascii="Open Sans" w:hAnsi="Open Sans" w:cs="Open Sans"/>
                <w:b/>
                <w:bCs/>
                <w:sz w:val="20"/>
                <w:szCs w:val="20"/>
                <w:lang w:val="en-US"/>
              </w:rPr>
              <w:t xml:space="preserve"> </w:t>
            </w:r>
            <w:r w:rsidRPr="003C14DF">
              <w:rPr>
                <w:rFonts w:ascii="Open Sans" w:hAnsi="Open Sans" w:cs="Open Sans"/>
                <w:b/>
                <w:bCs/>
                <w:sz w:val="20"/>
                <w:szCs w:val="20"/>
                <w:lang w:val="en-US"/>
              </w:rPr>
              <w:t xml:space="preserve">  </w:t>
            </w:r>
          </w:p>
        </w:tc>
      </w:tr>
      <w:tr w:rsidR="00907EE8" w:rsidRPr="003C14DF" w14:paraId="1F63D1EB" w14:textId="77777777" w:rsidTr="00A276B0">
        <w:tc>
          <w:tcPr>
            <w:tcW w:w="4388" w:type="dxa"/>
          </w:tcPr>
          <w:p w14:paraId="3DB2D9F2" w14:textId="4F288CD9" w:rsidR="00907EE8" w:rsidRPr="003C14DF" w:rsidRDefault="00907EE8" w:rsidP="002C5B7D">
            <w:pPr>
              <w:numPr>
                <w:ilvl w:val="0"/>
                <w:numId w:val="10"/>
              </w:numPr>
              <w:ind w:left="318"/>
              <w:contextualSpacing/>
              <w:jc w:val="both"/>
              <w:rPr>
                <w:rFonts w:ascii="Open Sans" w:hAnsi="Open Sans" w:cs="Open Sans"/>
                <w:sz w:val="20"/>
                <w:szCs w:val="20"/>
                <w:lang w:val="en-US"/>
              </w:rPr>
            </w:pPr>
            <w:r w:rsidRPr="003C14DF">
              <w:rPr>
                <w:rFonts w:ascii="Open Sans" w:hAnsi="Open Sans" w:cs="Open Sans"/>
                <w:sz w:val="20"/>
                <w:szCs w:val="20"/>
                <w:lang w:val="en-US"/>
              </w:rPr>
              <w:t xml:space="preserve">Do you agree with the scope of the minimum mandatory requirement, with additional information, such as sustainability reporting to be optional? If </w:t>
            </w:r>
            <w:r w:rsidRPr="003C14DF">
              <w:rPr>
                <w:rFonts w:ascii="Open Sans" w:hAnsi="Open Sans" w:cs="Open Sans"/>
                <w:sz w:val="20"/>
                <w:szCs w:val="20"/>
                <w:lang w:val="en-US"/>
              </w:rPr>
              <w:lastRenderedPageBreak/>
              <w:t>not, what changes should be made and why?</w:t>
            </w:r>
          </w:p>
        </w:tc>
        <w:tc>
          <w:tcPr>
            <w:tcW w:w="1642" w:type="dxa"/>
          </w:tcPr>
          <w:p w14:paraId="6AF41525" w14:textId="77777777" w:rsidR="00907EE8" w:rsidRPr="003C14DF" w:rsidRDefault="00907EE8" w:rsidP="00907EE8">
            <w:pPr>
              <w:pStyle w:val="paragraph"/>
              <w:spacing w:before="0" w:beforeAutospacing="0" w:after="0" w:afterAutospacing="0"/>
              <w:textAlignment w:val="baseline"/>
              <w:rPr>
                <w:rFonts w:ascii="Open Sans" w:hAnsi="Open Sans" w:cs="Open Sans"/>
                <w:sz w:val="20"/>
                <w:szCs w:val="20"/>
              </w:rPr>
            </w:pPr>
            <w:r w:rsidRPr="003C14DF">
              <w:rPr>
                <w:rStyle w:val="normaltextrun"/>
                <w:rFonts w:ascii="Open Sans" w:hAnsi="Open Sans" w:cs="Open Sans"/>
                <w:sz w:val="20"/>
                <w:szCs w:val="20"/>
                <w:lang w:val="en-US"/>
              </w:rPr>
              <w:lastRenderedPageBreak/>
              <w:t>G35.8-G35.19, G35.30, AG35.2-AG35.13</w:t>
            </w:r>
            <w:r w:rsidRPr="003C14DF">
              <w:rPr>
                <w:rStyle w:val="eop"/>
                <w:rFonts w:ascii="Open Sans" w:hAnsi="Open Sans" w:cs="Open Sans"/>
                <w:sz w:val="20"/>
                <w:szCs w:val="20"/>
              </w:rPr>
              <w:t> </w:t>
            </w:r>
          </w:p>
          <w:p w14:paraId="115FFEBF" w14:textId="77777777" w:rsidR="00907EE8" w:rsidRPr="003C14DF" w:rsidRDefault="00907EE8" w:rsidP="002C5B7D">
            <w:pPr>
              <w:rPr>
                <w:rFonts w:ascii="Open Sans" w:hAnsi="Open Sans" w:cs="Open Sans"/>
                <w:sz w:val="20"/>
                <w:szCs w:val="20"/>
                <w:lang w:val="en-US"/>
              </w:rPr>
            </w:pPr>
          </w:p>
        </w:tc>
        <w:tc>
          <w:tcPr>
            <w:tcW w:w="8282" w:type="dxa"/>
          </w:tcPr>
          <w:p w14:paraId="2ABC9318" w14:textId="7F101A24" w:rsidR="00907EE8" w:rsidRPr="003C14DF" w:rsidRDefault="007C1B10" w:rsidP="002C5B7D">
            <w:pPr>
              <w:rPr>
                <w:rFonts w:ascii="Open Sans" w:hAnsi="Open Sans" w:cs="Open Sans"/>
                <w:b/>
                <w:bCs/>
                <w:sz w:val="20"/>
                <w:szCs w:val="20"/>
                <w:lang w:val="en-US"/>
              </w:rPr>
            </w:pPr>
            <w:r w:rsidRPr="003C14DF">
              <w:rPr>
                <w:rFonts w:ascii="Open Sans" w:hAnsi="Open Sans" w:cs="Open Sans"/>
                <w:b/>
                <w:bCs/>
                <w:sz w:val="20"/>
                <w:szCs w:val="20"/>
                <w:lang w:val="en-US"/>
              </w:rPr>
              <w:t>Yes. However, due to the importance of sustainability reporting, additional minimum requirements in this regard (even if less complex than for other type of entities) could be considered.</w:t>
            </w:r>
          </w:p>
        </w:tc>
      </w:tr>
      <w:tr w:rsidR="00907EE8" w:rsidRPr="003C14DF" w14:paraId="038540FC" w14:textId="77777777" w:rsidTr="00A276B0">
        <w:tc>
          <w:tcPr>
            <w:tcW w:w="4388" w:type="dxa"/>
          </w:tcPr>
          <w:p w14:paraId="2AABA5CF" w14:textId="68617E62" w:rsidR="00907EE8" w:rsidRPr="003C14DF" w:rsidRDefault="00907EE8" w:rsidP="002C5B7D">
            <w:pPr>
              <w:numPr>
                <w:ilvl w:val="0"/>
                <w:numId w:val="10"/>
              </w:numPr>
              <w:ind w:left="318"/>
              <w:contextualSpacing/>
              <w:jc w:val="both"/>
              <w:rPr>
                <w:rFonts w:ascii="Open Sans" w:hAnsi="Open Sans" w:cs="Open Sans"/>
                <w:sz w:val="20"/>
                <w:szCs w:val="20"/>
                <w:lang w:val="en-US"/>
              </w:rPr>
            </w:pPr>
            <w:r w:rsidRPr="003C14DF">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3C14DF" w:rsidRDefault="00907EE8" w:rsidP="00907EE8">
            <w:pPr>
              <w:pStyle w:val="paragraph"/>
              <w:spacing w:before="0" w:beforeAutospacing="0" w:after="0" w:afterAutospacing="0"/>
              <w:textAlignment w:val="baseline"/>
              <w:rPr>
                <w:rFonts w:ascii="Open Sans" w:hAnsi="Open Sans" w:cs="Open Sans"/>
                <w:sz w:val="20"/>
                <w:szCs w:val="20"/>
              </w:rPr>
            </w:pPr>
            <w:r w:rsidRPr="003C14DF">
              <w:rPr>
                <w:rStyle w:val="normaltextrun"/>
                <w:rFonts w:ascii="Open Sans" w:hAnsi="Open Sans" w:cs="Open Sans"/>
                <w:sz w:val="20"/>
                <w:szCs w:val="20"/>
                <w:lang w:val="en-US"/>
              </w:rPr>
              <w:t>G35.7</w:t>
            </w:r>
            <w:r w:rsidRPr="003C14DF">
              <w:rPr>
                <w:rStyle w:val="eop"/>
                <w:rFonts w:ascii="Open Sans" w:hAnsi="Open Sans" w:cs="Open Sans"/>
                <w:sz w:val="20"/>
                <w:szCs w:val="20"/>
              </w:rPr>
              <w:t> </w:t>
            </w:r>
          </w:p>
          <w:p w14:paraId="1604B9F0" w14:textId="77777777" w:rsidR="00907EE8" w:rsidRPr="003C14DF" w:rsidRDefault="00907EE8" w:rsidP="002C5B7D">
            <w:pPr>
              <w:rPr>
                <w:rFonts w:ascii="Open Sans" w:hAnsi="Open Sans" w:cs="Open Sans"/>
                <w:sz w:val="20"/>
                <w:szCs w:val="20"/>
                <w:lang w:val="en-US"/>
              </w:rPr>
            </w:pPr>
          </w:p>
        </w:tc>
        <w:tc>
          <w:tcPr>
            <w:tcW w:w="8282" w:type="dxa"/>
          </w:tcPr>
          <w:p w14:paraId="7612C6FF" w14:textId="2CE89ABF" w:rsidR="00E63DB2" w:rsidRPr="003C14DF" w:rsidRDefault="00DD5B34" w:rsidP="00E63DB2">
            <w:pPr>
              <w:rPr>
                <w:rFonts w:ascii="Open Sans" w:hAnsi="Open Sans" w:cs="Open Sans"/>
                <w:b/>
                <w:bCs/>
                <w:sz w:val="20"/>
                <w:szCs w:val="20"/>
                <w:lang w:val="en-US"/>
              </w:rPr>
            </w:pPr>
            <w:r w:rsidRPr="003C14DF">
              <w:rPr>
                <w:rFonts w:ascii="Open Sans" w:hAnsi="Open Sans" w:cs="Open Sans"/>
                <w:b/>
                <w:bCs/>
                <w:sz w:val="20"/>
                <w:szCs w:val="20"/>
                <w:lang w:val="en-US"/>
              </w:rPr>
              <w:t>Yes, this is important as per the risk of harm to NPO staff/volunteers when NPO engage</w:t>
            </w:r>
            <w:r w:rsidR="003F10E6" w:rsidRPr="003C14DF">
              <w:rPr>
                <w:rFonts w:ascii="Open Sans" w:hAnsi="Open Sans" w:cs="Open Sans"/>
                <w:b/>
                <w:bCs/>
                <w:sz w:val="20"/>
                <w:szCs w:val="20"/>
                <w:lang w:val="en-US"/>
              </w:rPr>
              <w:t>s</w:t>
            </w:r>
            <w:r w:rsidRPr="003C14DF">
              <w:rPr>
                <w:rFonts w:ascii="Open Sans" w:hAnsi="Open Sans" w:cs="Open Sans"/>
                <w:b/>
                <w:bCs/>
                <w:sz w:val="20"/>
                <w:szCs w:val="20"/>
                <w:lang w:val="en-US"/>
              </w:rPr>
              <w:t xml:space="preserve"> in sensitive activities.  </w:t>
            </w:r>
          </w:p>
          <w:p w14:paraId="4E5DE775" w14:textId="26ABCBA3" w:rsidR="00DD5B34" w:rsidRPr="003C14DF" w:rsidRDefault="00DD5B34" w:rsidP="002C5B7D">
            <w:pPr>
              <w:rPr>
                <w:rFonts w:ascii="Open Sans" w:hAnsi="Open Sans" w:cs="Open Sans"/>
                <w:b/>
                <w:bCs/>
                <w:sz w:val="20"/>
                <w:szCs w:val="20"/>
                <w:lang w:val="en-US"/>
              </w:rPr>
            </w:pPr>
          </w:p>
        </w:tc>
      </w:tr>
      <w:tr w:rsidR="002C5B7D" w:rsidRPr="00EB6705" w14:paraId="45B3F70A" w14:textId="2B1302F5" w:rsidTr="00A276B0">
        <w:tc>
          <w:tcPr>
            <w:tcW w:w="4388" w:type="dxa"/>
          </w:tcPr>
          <w:p w14:paraId="1EA89DA1" w14:textId="02F50D21" w:rsidR="002C5B7D" w:rsidRPr="003C14DF" w:rsidRDefault="002C5B7D" w:rsidP="002C5B7D">
            <w:pPr>
              <w:numPr>
                <w:ilvl w:val="0"/>
                <w:numId w:val="10"/>
              </w:numPr>
              <w:ind w:left="318"/>
              <w:contextualSpacing/>
              <w:jc w:val="both"/>
              <w:rPr>
                <w:rFonts w:ascii="Open Sans" w:hAnsi="Open Sans" w:cs="Open Sans"/>
                <w:sz w:val="20"/>
                <w:szCs w:val="20"/>
                <w:lang w:val="en-US"/>
              </w:rPr>
            </w:pPr>
            <w:r w:rsidRPr="003C14DF">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3C14DF" w:rsidRDefault="002C5B7D" w:rsidP="002C5B7D">
            <w:pPr>
              <w:rPr>
                <w:rFonts w:ascii="Open Sans" w:hAnsi="Open Sans" w:cs="Open Sans"/>
                <w:sz w:val="20"/>
                <w:szCs w:val="20"/>
                <w:lang w:val="en-US"/>
              </w:rPr>
            </w:pPr>
          </w:p>
          <w:p w14:paraId="1017CBED" w14:textId="77777777" w:rsidR="002C5B7D" w:rsidRPr="003C14DF" w:rsidRDefault="002C5B7D" w:rsidP="002C5B7D">
            <w:pPr>
              <w:rPr>
                <w:rFonts w:ascii="Open Sans" w:hAnsi="Open Sans" w:cs="Open Sans"/>
                <w:sz w:val="20"/>
                <w:szCs w:val="20"/>
                <w:lang w:val="en-US"/>
              </w:rPr>
            </w:pPr>
          </w:p>
          <w:p w14:paraId="4EB41C2D" w14:textId="77777777" w:rsidR="002C5B7D" w:rsidRPr="003C14DF"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3C14DF"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3C14DF"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576DE65B" w:rsidR="002C5B7D" w:rsidRPr="003C14DF" w:rsidRDefault="00E63DB2" w:rsidP="002C5B7D">
            <w:pPr>
              <w:rPr>
                <w:rFonts w:ascii="Open Sans" w:hAnsi="Open Sans" w:cs="Open Sans"/>
                <w:b/>
                <w:bCs/>
                <w:sz w:val="20"/>
                <w:szCs w:val="20"/>
                <w:lang w:val="en-US"/>
              </w:rPr>
            </w:pPr>
            <w:r w:rsidRPr="003C14DF">
              <w:rPr>
                <w:rFonts w:ascii="Open Sans" w:hAnsi="Open Sans" w:cs="Open Sans"/>
                <w:b/>
                <w:bCs/>
                <w:sz w:val="20"/>
                <w:szCs w:val="20"/>
                <w:lang w:val="en-US"/>
              </w:rPr>
              <w:t>Yes, a two-year transition period makes sense and promotes a phased approach to INPAG adoption.</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8348" w14:textId="77777777" w:rsidR="007B2C4F" w:rsidRDefault="007B2C4F" w:rsidP="009F74AC">
      <w:pPr>
        <w:spacing w:after="0" w:line="240" w:lineRule="auto"/>
      </w:pPr>
      <w:r>
        <w:separator/>
      </w:r>
    </w:p>
  </w:endnote>
  <w:endnote w:type="continuationSeparator" w:id="0">
    <w:p w14:paraId="1302E552" w14:textId="77777777" w:rsidR="007B2C4F" w:rsidRDefault="007B2C4F" w:rsidP="009F74AC">
      <w:pPr>
        <w:spacing w:after="0" w:line="240" w:lineRule="auto"/>
      </w:pPr>
      <w:r>
        <w:continuationSeparator/>
      </w:r>
    </w:p>
  </w:endnote>
  <w:endnote w:type="continuationNotice" w:id="1">
    <w:p w14:paraId="15C4A4B8" w14:textId="77777777" w:rsidR="007B2C4F" w:rsidRDefault="007B2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9DA4" w14:textId="77777777" w:rsidR="007B2C4F" w:rsidRDefault="007B2C4F" w:rsidP="009F74AC">
      <w:pPr>
        <w:spacing w:after="0" w:line="240" w:lineRule="auto"/>
      </w:pPr>
      <w:r>
        <w:separator/>
      </w:r>
    </w:p>
  </w:footnote>
  <w:footnote w:type="continuationSeparator" w:id="0">
    <w:p w14:paraId="38852662" w14:textId="77777777" w:rsidR="007B2C4F" w:rsidRDefault="007B2C4F" w:rsidP="009F74AC">
      <w:pPr>
        <w:spacing w:after="0" w:line="240" w:lineRule="auto"/>
      </w:pPr>
      <w:r>
        <w:continuationSeparator/>
      </w:r>
    </w:p>
  </w:footnote>
  <w:footnote w:type="continuationNotice" w:id="1">
    <w:p w14:paraId="0F167DDE" w14:textId="77777777" w:rsidR="007B2C4F" w:rsidRDefault="007B2C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65341F"/>
    <w:multiLevelType w:val="hybridMultilevel"/>
    <w:tmpl w:val="F128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172667"/>
    <w:multiLevelType w:val="hybridMultilevel"/>
    <w:tmpl w:val="994C8B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4012688">
    <w:abstractNumId w:val="7"/>
  </w:num>
  <w:num w:numId="2" w16cid:durableId="1834754870">
    <w:abstractNumId w:val="3"/>
  </w:num>
  <w:num w:numId="3" w16cid:durableId="2043821050">
    <w:abstractNumId w:val="6"/>
  </w:num>
  <w:num w:numId="4" w16cid:durableId="1532066357">
    <w:abstractNumId w:val="14"/>
  </w:num>
  <w:num w:numId="5" w16cid:durableId="1277370966">
    <w:abstractNumId w:val="5"/>
  </w:num>
  <w:num w:numId="6" w16cid:durableId="1212037337">
    <w:abstractNumId w:val="17"/>
  </w:num>
  <w:num w:numId="7" w16cid:durableId="2022663137">
    <w:abstractNumId w:val="13"/>
  </w:num>
  <w:num w:numId="8" w16cid:durableId="742870488">
    <w:abstractNumId w:val="11"/>
  </w:num>
  <w:num w:numId="9" w16cid:durableId="1541936189">
    <w:abstractNumId w:val="9"/>
  </w:num>
  <w:num w:numId="10" w16cid:durableId="1930117925">
    <w:abstractNumId w:val="12"/>
  </w:num>
  <w:num w:numId="11" w16cid:durableId="563831867">
    <w:abstractNumId w:val="2"/>
  </w:num>
  <w:num w:numId="12" w16cid:durableId="2145077804">
    <w:abstractNumId w:val="8"/>
  </w:num>
  <w:num w:numId="13" w16cid:durableId="1589272504">
    <w:abstractNumId w:val="10"/>
  </w:num>
  <w:num w:numId="14" w16cid:durableId="930044827">
    <w:abstractNumId w:val="1"/>
  </w:num>
  <w:num w:numId="15" w16cid:durableId="1268200323">
    <w:abstractNumId w:val="15"/>
  </w:num>
  <w:num w:numId="16" w16cid:durableId="1446581829">
    <w:abstractNumId w:val="0"/>
  </w:num>
  <w:num w:numId="17" w16cid:durableId="1823156002">
    <w:abstractNumId w:val="4"/>
  </w:num>
  <w:num w:numId="18" w16cid:durableId="17074878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3210"/>
    <w:rsid w:val="0002746A"/>
    <w:rsid w:val="00032CDB"/>
    <w:rsid w:val="000419A1"/>
    <w:rsid w:val="00046D9C"/>
    <w:rsid w:val="000554EC"/>
    <w:rsid w:val="00057570"/>
    <w:rsid w:val="000664C4"/>
    <w:rsid w:val="0007287A"/>
    <w:rsid w:val="00080D8D"/>
    <w:rsid w:val="00082C3C"/>
    <w:rsid w:val="000A4EAF"/>
    <w:rsid w:val="000A6348"/>
    <w:rsid w:val="000A7174"/>
    <w:rsid w:val="000B0C37"/>
    <w:rsid w:val="000B1B88"/>
    <w:rsid w:val="000B6DE4"/>
    <w:rsid w:val="000C07D4"/>
    <w:rsid w:val="000C4E37"/>
    <w:rsid w:val="000F7A25"/>
    <w:rsid w:val="00105FCA"/>
    <w:rsid w:val="001211DC"/>
    <w:rsid w:val="001255FA"/>
    <w:rsid w:val="00126569"/>
    <w:rsid w:val="00181523"/>
    <w:rsid w:val="0018299E"/>
    <w:rsid w:val="0018792C"/>
    <w:rsid w:val="001948B2"/>
    <w:rsid w:val="001A12FB"/>
    <w:rsid w:val="001A4180"/>
    <w:rsid w:val="001A5D87"/>
    <w:rsid w:val="001A7FEC"/>
    <w:rsid w:val="001B6E16"/>
    <w:rsid w:val="001C3A48"/>
    <w:rsid w:val="001D080E"/>
    <w:rsid w:val="001D2FA7"/>
    <w:rsid w:val="001E04DA"/>
    <w:rsid w:val="001F45E4"/>
    <w:rsid w:val="0020106B"/>
    <w:rsid w:val="0020260D"/>
    <w:rsid w:val="00210458"/>
    <w:rsid w:val="00230842"/>
    <w:rsid w:val="002322C4"/>
    <w:rsid w:val="002379AC"/>
    <w:rsid w:val="002414E0"/>
    <w:rsid w:val="00247337"/>
    <w:rsid w:val="002538DD"/>
    <w:rsid w:val="00292B2C"/>
    <w:rsid w:val="00297E2C"/>
    <w:rsid w:val="002A167D"/>
    <w:rsid w:val="002B6584"/>
    <w:rsid w:val="002C0C3F"/>
    <w:rsid w:val="002C5B7D"/>
    <w:rsid w:val="002C6DFD"/>
    <w:rsid w:val="002D3E58"/>
    <w:rsid w:val="002E16CB"/>
    <w:rsid w:val="002E4F95"/>
    <w:rsid w:val="00320F61"/>
    <w:rsid w:val="00326516"/>
    <w:rsid w:val="003325FA"/>
    <w:rsid w:val="00336705"/>
    <w:rsid w:val="00354A3A"/>
    <w:rsid w:val="003745FB"/>
    <w:rsid w:val="003755E7"/>
    <w:rsid w:val="00381D42"/>
    <w:rsid w:val="003939BC"/>
    <w:rsid w:val="003A0428"/>
    <w:rsid w:val="003A11E8"/>
    <w:rsid w:val="003A1EEF"/>
    <w:rsid w:val="003B33EC"/>
    <w:rsid w:val="003C14DF"/>
    <w:rsid w:val="003C7B7A"/>
    <w:rsid w:val="003E10EA"/>
    <w:rsid w:val="003F0A99"/>
    <w:rsid w:val="003F10E6"/>
    <w:rsid w:val="00413E15"/>
    <w:rsid w:val="00417841"/>
    <w:rsid w:val="004437B6"/>
    <w:rsid w:val="004441A6"/>
    <w:rsid w:val="00463CE5"/>
    <w:rsid w:val="0047047C"/>
    <w:rsid w:val="004716BE"/>
    <w:rsid w:val="00471A6D"/>
    <w:rsid w:val="004759D7"/>
    <w:rsid w:val="00480EB8"/>
    <w:rsid w:val="00484CCF"/>
    <w:rsid w:val="004933C9"/>
    <w:rsid w:val="004A3A1F"/>
    <w:rsid w:val="004E764D"/>
    <w:rsid w:val="00512D54"/>
    <w:rsid w:val="00515388"/>
    <w:rsid w:val="00522012"/>
    <w:rsid w:val="005247D7"/>
    <w:rsid w:val="005266FA"/>
    <w:rsid w:val="0053637E"/>
    <w:rsid w:val="00546090"/>
    <w:rsid w:val="0054631C"/>
    <w:rsid w:val="005476F2"/>
    <w:rsid w:val="00551FD4"/>
    <w:rsid w:val="005539B3"/>
    <w:rsid w:val="0056475E"/>
    <w:rsid w:val="005A718A"/>
    <w:rsid w:val="005B3F30"/>
    <w:rsid w:val="005B6CC3"/>
    <w:rsid w:val="005C792B"/>
    <w:rsid w:val="005D2FF0"/>
    <w:rsid w:val="005E2EB9"/>
    <w:rsid w:val="005E6190"/>
    <w:rsid w:val="005F18AF"/>
    <w:rsid w:val="005F2F75"/>
    <w:rsid w:val="005F7324"/>
    <w:rsid w:val="00611507"/>
    <w:rsid w:val="00623B8E"/>
    <w:rsid w:val="006463FF"/>
    <w:rsid w:val="00651710"/>
    <w:rsid w:val="00665B73"/>
    <w:rsid w:val="00675790"/>
    <w:rsid w:val="0068267D"/>
    <w:rsid w:val="00692087"/>
    <w:rsid w:val="00694053"/>
    <w:rsid w:val="00696DC5"/>
    <w:rsid w:val="006A4A3D"/>
    <w:rsid w:val="006A4C7A"/>
    <w:rsid w:val="006B6418"/>
    <w:rsid w:val="006C21F6"/>
    <w:rsid w:val="006C52E0"/>
    <w:rsid w:val="006C5BCC"/>
    <w:rsid w:val="006D3B0D"/>
    <w:rsid w:val="006E2340"/>
    <w:rsid w:val="0070517A"/>
    <w:rsid w:val="007076A7"/>
    <w:rsid w:val="00710CE2"/>
    <w:rsid w:val="00713C32"/>
    <w:rsid w:val="007279C0"/>
    <w:rsid w:val="007370DD"/>
    <w:rsid w:val="0077222F"/>
    <w:rsid w:val="00790FFE"/>
    <w:rsid w:val="007912AA"/>
    <w:rsid w:val="00791E3A"/>
    <w:rsid w:val="007953CE"/>
    <w:rsid w:val="0079758C"/>
    <w:rsid w:val="007A0550"/>
    <w:rsid w:val="007A3859"/>
    <w:rsid w:val="007A557C"/>
    <w:rsid w:val="007B2C4F"/>
    <w:rsid w:val="007B3A98"/>
    <w:rsid w:val="007B580B"/>
    <w:rsid w:val="007C1B10"/>
    <w:rsid w:val="007D27F2"/>
    <w:rsid w:val="007F48A5"/>
    <w:rsid w:val="0080195C"/>
    <w:rsid w:val="008040ED"/>
    <w:rsid w:val="00812CA9"/>
    <w:rsid w:val="008137C0"/>
    <w:rsid w:val="00821B3D"/>
    <w:rsid w:val="00826B08"/>
    <w:rsid w:val="00841B58"/>
    <w:rsid w:val="00850BFE"/>
    <w:rsid w:val="00860251"/>
    <w:rsid w:val="00865ACC"/>
    <w:rsid w:val="00876D53"/>
    <w:rsid w:val="008A350D"/>
    <w:rsid w:val="008C6B40"/>
    <w:rsid w:val="008C76B2"/>
    <w:rsid w:val="00907EE8"/>
    <w:rsid w:val="00925D37"/>
    <w:rsid w:val="009313BE"/>
    <w:rsid w:val="00931959"/>
    <w:rsid w:val="00943505"/>
    <w:rsid w:val="00947E53"/>
    <w:rsid w:val="0095564D"/>
    <w:rsid w:val="00962E82"/>
    <w:rsid w:val="00973D7F"/>
    <w:rsid w:val="00993FE3"/>
    <w:rsid w:val="0099616F"/>
    <w:rsid w:val="00997746"/>
    <w:rsid w:val="009A11AA"/>
    <w:rsid w:val="009A5255"/>
    <w:rsid w:val="009B0BE0"/>
    <w:rsid w:val="009B3349"/>
    <w:rsid w:val="009C5079"/>
    <w:rsid w:val="009D2751"/>
    <w:rsid w:val="009D5588"/>
    <w:rsid w:val="009D56E6"/>
    <w:rsid w:val="009D7C93"/>
    <w:rsid w:val="009E602D"/>
    <w:rsid w:val="009F74AC"/>
    <w:rsid w:val="00A039B2"/>
    <w:rsid w:val="00A07D43"/>
    <w:rsid w:val="00A15E58"/>
    <w:rsid w:val="00A17864"/>
    <w:rsid w:val="00A22952"/>
    <w:rsid w:val="00A276B0"/>
    <w:rsid w:val="00A30143"/>
    <w:rsid w:val="00A329EB"/>
    <w:rsid w:val="00A44A67"/>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AE1426"/>
    <w:rsid w:val="00B112A1"/>
    <w:rsid w:val="00B14710"/>
    <w:rsid w:val="00B258B3"/>
    <w:rsid w:val="00B45C4D"/>
    <w:rsid w:val="00B471E4"/>
    <w:rsid w:val="00B54007"/>
    <w:rsid w:val="00B653D9"/>
    <w:rsid w:val="00B738D5"/>
    <w:rsid w:val="00B91FEA"/>
    <w:rsid w:val="00BA1536"/>
    <w:rsid w:val="00BA2063"/>
    <w:rsid w:val="00BA32F9"/>
    <w:rsid w:val="00BD09CA"/>
    <w:rsid w:val="00BE132D"/>
    <w:rsid w:val="00BF437E"/>
    <w:rsid w:val="00BF6FEA"/>
    <w:rsid w:val="00C209B2"/>
    <w:rsid w:val="00C3346C"/>
    <w:rsid w:val="00C340C6"/>
    <w:rsid w:val="00C448D7"/>
    <w:rsid w:val="00C46F27"/>
    <w:rsid w:val="00C5292F"/>
    <w:rsid w:val="00C66202"/>
    <w:rsid w:val="00C70D93"/>
    <w:rsid w:val="00C70E46"/>
    <w:rsid w:val="00C74CD9"/>
    <w:rsid w:val="00C77881"/>
    <w:rsid w:val="00C8003A"/>
    <w:rsid w:val="00C806B8"/>
    <w:rsid w:val="00C95766"/>
    <w:rsid w:val="00CA5E81"/>
    <w:rsid w:val="00CA66E2"/>
    <w:rsid w:val="00CC2D7B"/>
    <w:rsid w:val="00CC7FF9"/>
    <w:rsid w:val="00CE1CA8"/>
    <w:rsid w:val="00CF325F"/>
    <w:rsid w:val="00D01FDA"/>
    <w:rsid w:val="00D02400"/>
    <w:rsid w:val="00D105A1"/>
    <w:rsid w:val="00D140B0"/>
    <w:rsid w:val="00D170DB"/>
    <w:rsid w:val="00D1710E"/>
    <w:rsid w:val="00D34209"/>
    <w:rsid w:val="00D44BE7"/>
    <w:rsid w:val="00D60D12"/>
    <w:rsid w:val="00D64F48"/>
    <w:rsid w:val="00D672A7"/>
    <w:rsid w:val="00D8539B"/>
    <w:rsid w:val="00D90216"/>
    <w:rsid w:val="00DA5B5F"/>
    <w:rsid w:val="00DB1FA3"/>
    <w:rsid w:val="00DB7739"/>
    <w:rsid w:val="00DC3687"/>
    <w:rsid w:val="00DD5B34"/>
    <w:rsid w:val="00DD6B4E"/>
    <w:rsid w:val="00DF47D7"/>
    <w:rsid w:val="00E0347C"/>
    <w:rsid w:val="00E162A0"/>
    <w:rsid w:val="00E162AE"/>
    <w:rsid w:val="00E201D7"/>
    <w:rsid w:val="00E34C92"/>
    <w:rsid w:val="00E36F6E"/>
    <w:rsid w:val="00E467F5"/>
    <w:rsid w:val="00E4681B"/>
    <w:rsid w:val="00E60611"/>
    <w:rsid w:val="00E628A8"/>
    <w:rsid w:val="00E63126"/>
    <w:rsid w:val="00E63DB2"/>
    <w:rsid w:val="00E71959"/>
    <w:rsid w:val="00E81315"/>
    <w:rsid w:val="00E97B55"/>
    <w:rsid w:val="00EA3878"/>
    <w:rsid w:val="00EA6E81"/>
    <w:rsid w:val="00EB6705"/>
    <w:rsid w:val="00EB78C2"/>
    <w:rsid w:val="00EC26EB"/>
    <w:rsid w:val="00ED571F"/>
    <w:rsid w:val="00EE7BF3"/>
    <w:rsid w:val="00EF110B"/>
    <w:rsid w:val="00F14452"/>
    <w:rsid w:val="00F24C90"/>
    <w:rsid w:val="00F3234F"/>
    <w:rsid w:val="00F3751F"/>
    <w:rsid w:val="00F432A0"/>
    <w:rsid w:val="00F47AC9"/>
    <w:rsid w:val="00F6667F"/>
    <w:rsid w:val="00F740A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fr4npo@cipf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fr4np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r4npo.org/ed1" TargetMode="External"/><Relationship Id="rId5" Type="http://schemas.openxmlformats.org/officeDocument/2006/relationships/numbering" Target="numbering.xml"/><Relationship Id="rId15" Type="http://schemas.openxmlformats.org/officeDocument/2006/relationships/hyperlink" Target="mailto:IFR4NPO@cipf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r4np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3.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9A59E-FAAD-42B2-BDC5-29BC7D03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3915</Words>
  <Characters>22318</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2</cp:revision>
  <dcterms:created xsi:type="dcterms:W3CDTF">2023-04-03T15:07:00Z</dcterms:created>
  <dcterms:modified xsi:type="dcterms:W3CDTF">2023-04-03T15:07:00Z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