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AD5B" w14:textId="5B2E0E67" w:rsidR="005247D7" w:rsidRPr="00BA32F9" w:rsidRDefault="0017613B" w:rsidP="00BA32F9">
      <w:pPr>
        <w:jc w:val="center"/>
        <w:rPr>
          <w:rFonts w:ascii="Open Sans" w:hAnsi="Open Sans" w:cs="Open Sans"/>
          <w:b/>
          <w:bCs/>
          <w:sz w:val="36"/>
          <w:szCs w:val="36"/>
          <w:lang w:val="en-US"/>
        </w:rPr>
      </w:pPr>
      <w:r>
        <w:rPr>
          <w:rFonts w:ascii="Open Sans" w:hAnsi="Open Sans" w:cs="Open Sans"/>
          <w:b/>
          <w:bCs/>
          <w:sz w:val="36"/>
          <w:szCs w:val="36"/>
          <w:lang w:val="en-US"/>
        </w:rPr>
        <w:t xml:space="preserve"> </w:t>
      </w:r>
      <w:r w:rsidR="00C57F73">
        <w:rPr>
          <w:rFonts w:ascii="Open Sans" w:hAnsi="Open Sans" w:cs="Open Sans"/>
          <w:b/>
          <w:bCs/>
          <w:sz w:val="36"/>
          <w:szCs w:val="36"/>
          <w:lang w:val="en-US"/>
        </w:rPr>
        <w:t xml:space="preserve">          </w:t>
      </w:r>
      <w:r w:rsidR="005247D7"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3C327BD3" w:rsidR="00F6667F" w:rsidRPr="00EB6705" w:rsidRDefault="003E1D5D" w:rsidP="003E1D5D">
            <w:pPr>
              <w:rPr>
                <w:rFonts w:ascii="Open Sans" w:hAnsi="Open Sans" w:cs="Open Sans"/>
                <w:sz w:val="20"/>
                <w:szCs w:val="20"/>
              </w:rPr>
            </w:pPr>
            <w:r>
              <w:rPr>
                <w:rFonts w:ascii="Open Sans" w:hAnsi="Open Sans" w:cs="Open Sans"/>
                <w:sz w:val="20"/>
                <w:szCs w:val="20"/>
              </w:rPr>
              <w:t xml:space="preserve">Mike </w:t>
            </w:r>
          </w:p>
        </w:tc>
        <w:tc>
          <w:tcPr>
            <w:tcW w:w="5386" w:type="dxa"/>
          </w:tcPr>
          <w:p w14:paraId="20A79987" w14:textId="40449193" w:rsidR="00F6667F" w:rsidRPr="00EB6705" w:rsidRDefault="00DB7739" w:rsidP="003E1D5D">
            <w:pPr>
              <w:rPr>
                <w:rFonts w:ascii="Open Sans" w:hAnsi="Open Sans" w:cs="Open Sans"/>
                <w:b/>
                <w:bCs/>
                <w:sz w:val="20"/>
                <w:szCs w:val="20"/>
              </w:rPr>
            </w:pPr>
            <w:r w:rsidRPr="00EB6705">
              <w:rPr>
                <w:rFonts w:ascii="Open Sans" w:hAnsi="Open Sans" w:cs="Open Sans"/>
                <w:b/>
                <w:bCs/>
                <w:sz w:val="20"/>
                <w:szCs w:val="20"/>
              </w:rPr>
              <w:t xml:space="preserve">Organisation: </w:t>
            </w:r>
          </w:p>
        </w:tc>
        <w:tc>
          <w:tcPr>
            <w:tcW w:w="3402" w:type="dxa"/>
          </w:tcPr>
          <w:p w14:paraId="2DF3B94F" w14:textId="53817D07" w:rsidR="00F6667F" w:rsidRPr="00EB6705" w:rsidRDefault="003E1D5D">
            <w:pPr>
              <w:rPr>
                <w:rFonts w:ascii="Open Sans" w:hAnsi="Open Sans" w:cs="Open Sans"/>
                <w:sz w:val="20"/>
                <w:szCs w:val="20"/>
              </w:rPr>
            </w:pPr>
            <w:r>
              <w:rPr>
                <w:rFonts w:ascii="Open Sans" w:hAnsi="Open Sans" w:cs="Open Sans"/>
                <w:sz w:val="20"/>
                <w:szCs w:val="20"/>
              </w:rPr>
              <w:t>PKF Kenya LLP</w:t>
            </w:r>
          </w:p>
        </w:tc>
      </w:tr>
      <w:tr w:rsidR="003E1D5D" w:rsidRPr="00EB6705" w14:paraId="5517C290" w14:textId="77777777" w:rsidTr="00BA2063">
        <w:tc>
          <w:tcPr>
            <w:tcW w:w="1413" w:type="dxa"/>
          </w:tcPr>
          <w:p w14:paraId="5CE1F7AE" w14:textId="48565488" w:rsidR="003E1D5D" w:rsidRDefault="003E1D5D" w:rsidP="003E1D5D">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6059B62" w:rsidR="003E1D5D" w:rsidRPr="00EB6705" w:rsidRDefault="003E1D5D" w:rsidP="003E1D5D">
            <w:pPr>
              <w:rPr>
                <w:rFonts w:ascii="Open Sans" w:hAnsi="Open Sans" w:cs="Open Sans"/>
                <w:sz w:val="20"/>
                <w:szCs w:val="20"/>
              </w:rPr>
            </w:pPr>
            <w:r>
              <w:rPr>
                <w:rFonts w:ascii="Open Sans" w:hAnsi="Open Sans" w:cs="Open Sans"/>
                <w:sz w:val="20"/>
                <w:szCs w:val="20"/>
              </w:rPr>
              <w:t>Kimundu</w:t>
            </w:r>
          </w:p>
        </w:tc>
        <w:tc>
          <w:tcPr>
            <w:tcW w:w="5386" w:type="dxa"/>
          </w:tcPr>
          <w:p w14:paraId="4A68BDE9" w14:textId="0EB3CB0A" w:rsidR="003E1D5D" w:rsidRPr="003E1D5D" w:rsidRDefault="003E1D5D" w:rsidP="003E1D5D">
            <w:pPr>
              <w:rPr>
                <w:rFonts w:ascii="Open Sans" w:hAnsi="Open Sans" w:cs="Open Sans"/>
                <w:b/>
                <w:bCs/>
                <w:sz w:val="20"/>
                <w:szCs w:val="20"/>
              </w:rPr>
            </w:pPr>
            <w:r>
              <w:rPr>
                <w:rFonts w:ascii="Open Sans" w:hAnsi="Open Sans" w:cs="Open Sans"/>
                <w:b/>
                <w:bCs/>
                <w:sz w:val="20"/>
                <w:szCs w:val="20"/>
              </w:rPr>
              <w:t>Response:</w:t>
            </w:r>
          </w:p>
        </w:tc>
        <w:tc>
          <w:tcPr>
            <w:tcW w:w="3402" w:type="dxa"/>
          </w:tcPr>
          <w:p w14:paraId="2F4A6BD6" w14:textId="4B2BF662" w:rsidR="003E1D5D" w:rsidRPr="00EB6705" w:rsidRDefault="003E1D5D" w:rsidP="003E1D5D">
            <w:pPr>
              <w:rPr>
                <w:rFonts w:ascii="Open Sans" w:hAnsi="Open Sans" w:cs="Open Sans"/>
                <w:sz w:val="20"/>
                <w:szCs w:val="20"/>
              </w:rPr>
            </w:pPr>
            <w:r>
              <w:rPr>
                <w:rFonts w:ascii="Open Sans" w:hAnsi="Open Sans" w:cs="Open Sans"/>
                <w:sz w:val="20"/>
                <w:szCs w:val="20"/>
              </w:rPr>
              <w:t xml:space="preserve">on behalf of my organisation </w:t>
            </w:r>
          </w:p>
        </w:tc>
      </w:tr>
      <w:tr w:rsidR="003E1D5D" w:rsidRPr="00EB6705" w14:paraId="63DAEE75" w14:textId="77777777" w:rsidTr="00BA2063">
        <w:tc>
          <w:tcPr>
            <w:tcW w:w="1413" w:type="dxa"/>
          </w:tcPr>
          <w:p w14:paraId="2DC3ABB5" w14:textId="63A99817" w:rsidR="003E1D5D" w:rsidRDefault="003E1D5D" w:rsidP="003E1D5D">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0BDACA45" w:rsidR="003E1D5D" w:rsidRDefault="003E1D5D" w:rsidP="003E1D5D">
            <w:pPr>
              <w:rPr>
                <w:rFonts w:ascii="Open Sans" w:hAnsi="Open Sans" w:cs="Open Sans"/>
                <w:sz w:val="20"/>
                <w:szCs w:val="20"/>
              </w:rPr>
            </w:pPr>
            <w:r>
              <w:rPr>
                <w:rFonts w:ascii="Open Sans" w:hAnsi="Open Sans" w:cs="Open Sans"/>
                <w:sz w:val="20"/>
                <w:szCs w:val="20"/>
              </w:rPr>
              <w:t>mkimundu@ke.pfea.com</w:t>
            </w:r>
          </w:p>
        </w:tc>
        <w:tc>
          <w:tcPr>
            <w:tcW w:w="5386" w:type="dxa"/>
          </w:tcPr>
          <w:p w14:paraId="600C5610" w14:textId="2CCFF80F" w:rsidR="003E1D5D" w:rsidRDefault="003E1D5D" w:rsidP="003E1D5D">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p>
        </w:tc>
        <w:tc>
          <w:tcPr>
            <w:tcW w:w="3402" w:type="dxa"/>
          </w:tcPr>
          <w:p w14:paraId="544E8897" w14:textId="6D17A4EC" w:rsidR="003E1D5D" w:rsidRPr="00EB6705" w:rsidRDefault="003E1D5D" w:rsidP="003E1D5D">
            <w:pPr>
              <w:rPr>
                <w:rFonts w:ascii="Open Sans" w:hAnsi="Open Sans" w:cs="Open Sans"/>
                <w:sz w:val="20"/>
                <w:szCs w:val="20"/>
              </w:rPr>
            </w:pPr>
            <w:r>
              <w:rPr>
                <w:rFonts w:ascii="Open Sans" w:hAnsi="Open Sans" w:cs="Open Sans"/>
                <w:sz w:val="20"/>
                <w:szCs w:val="20"/>
              </w:rPr>
              <w:t xml:space="preserve">Kenya </w:t>
            </w:r>
          </w:p>
        </w:tc>
      </w:tr>
      <w:tr w:rsidR="003E1D5D" w:rsidRPr="00EB6705" w14:paraId="73351CF2" w14:textId="77777777" w:rsidTr="00BA2063">
        <w:tc>
          <w:tcPr>
            <w:tcW w:w="1413" w:type="dxa"/>
          </w:tcPr>
          <w:p w14:paraId="6BE77AEC" w14:textId="5559BDA8" w:rsidR="003E1D5D" w:rsidRPr="00EB6705" w:rsidRDefault="003E1D5D" w:rsidP="003E1D5D">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04BF906B" w:rsidR="003E1D5D" w:rsidRPr="00EB6705" w:rsidRDefault="006037C0" w:rsidP="006037C0">
            <w:pPr>
              <w:rPr>
                <w:rFonts w:ascii="Open Sans" w:hAnsi="Open Sans" w:cs="Open Sans"/>
                <w:sz w:val="20"/>
                <w:szCs w:val="20"/>
              </w:rPr>
            </w:pPr>
            <w:r>
              <w:rPr>
                <w:rFonts w:ascii="Open Sans" w:hAnsi="Open Sans" w:cs="Open Sans"/>
                <w:sz w:val="20"/>
                <w:szCs w:val="20"/>
              </w:rPr>
              <w:t>Partner</w:t>
            </w:r>
          </w:p>
        </w:tc>
        <w:tc>
          <w:tcPr>
            <w:tcW w:w="5386" w:type="dxa"/>
          </w:tcPr>
          <w:p w14:paraId="2D9748C6" w14:textId="77777777" w:rsidR="003E1D5D" w:rsidRDefault="003E1D5D" w:rsidP="003E1D5D">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7C01FD5C" w:rsidR="003E1D5D" w:rsidRPr="00EB6705" w:rsidRDefault="006037C0" w:rsidP="003E1D5D">
            <w:pPr>
              <w:rPr>
                <w:rFonts w:ascii="Open Sans" w:hAnsi="Open Sans" w:cs="Open Sans"/>
                <w:sz w:val="20"/>
                <w:szCs w:val="20"/>
              </w:rPr>
            </w:pPr>
            <w:r>
              <w:rPr>
                <w:rFonts w:ascii="Open Sans" w:hAnsi="Open Sans" w:cs="Open Sans"/>
                <w:sz w:val="20"/>
                <w:szCs w:val="20"/>
              </w:rPr>
              <w:t>Auditor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p>
          <w:p w14:paraId="0F659979" w14:textId="10B17403" w:rsidR="006C21F6" w:rsidRPr="006C21F6" w:rsidRDefault="006C21F6" w:rsidP="006C21F6">
            <w:pPr>
              <w:rPr>
                <w:rFonts w:ascii="Open Sans" w:hAnsi="Open Sans" w:cs="Open Sans"/>
                <w:bCs/>
                <w:color w:val="000000"/>
                <w:sz w:val="20"/>
                <w:szCs w:val="20"/>
              </w:rPr>
            </w:pP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65626A" w:rsidRPr="00EB6705" w14:paraId="4B034D62" w14:textId="75C9EF64" w:rsidTr="00710CE2">
        <w:tc>
          <w:tcPr>
            <w:tcW w:w="4388" w:type="dxa"/>
            <w:tcBorders>
              <w:bottom w:val="single" w:sz="4" w:space="0" w:color="auto"/>
            </w:tcBorders>
          </w:tcPr>
          <w:p w14:paraId="08C364EB" w14:textId="037A7DBE" w:rsidR="0065626A" w:rsidRPr="00EB6705" w:rsidRDefault="0065626A" w:rsidP="0065626A">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65626A" w:rsidRPr="00EB6705" w:rsidRDefault="0065626A" w:rsidP="0065626A">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0E167D23" w14:textId="77777777" w:rsidR="0065626A" w:rsidRDefault="0065626A" w:rsidP="0065626A">
            <w:pPr>
              <w:jc w:val="both"/>
              <w:rPr>
                <w:rFonts w:ascii="Open Sans" w:hAnsi="Open Sans" w:cs="Open Sans"/>
                <w:b/>
                <w:bCs/>
                <w:sz w:val="20"/>
                <w:szCs w:val="20"/>
                <w:lang w:val="en-US"/>
              </w:rPr>
            </w:pPr>
            <w:r>
              <w:rPr>
                <w:rFonts w:ascii="Open Sans" w:hAnsi="Open Sans" w:cs="Open Sans"/>
                <w:b/>
                <w:bCs/>
                <w:sz w:val="20"/>
                <w:szCs w:val="20"/>
                <w:lang w:val="en-US"/>
              </w:rPr>
              <w:t xml:space="preserve">Yes </w:t>
            </w:r>
          </w:p>
          <w:p w14:paraId="0FCB5653" w14:textId="77777777" w:rsidR="0065626A" w:rsidRDefault="0065626A" w:rsidP="0065626A">
            <w:pPr>
              <w:pStyle w:val="ListParagraph"/>
              <w:numPr>
                <w:ilvl w:val="0"/>
                <w:numId w:val="20"/>
              </w:numPr>
              <w:jc w:val="both"/>
              <w:rPr>
                <w:rFonts w:ascii="Open Sans" w:hAnsi="Open Sans" w:cs="Open Sans"/>
                <w:b/>
                <w:bCs/>
                <w:sz w:val="20"/>
                <w:szCs w:val="20"/>
                <w:lang w:val="en-US"/>
              </w:rPr>
            </w:pPr>
            <w:r>
              <w:rPr>
                <w:rFonts w:ascii="Open Sans" w:hAnsi="Open Sans" w:cs="Open Sans"/>
                <w:b/>
                <w:bCs/>
                <w:sz w:val="20"/>
                <w:szCs w:val="20"/>
                <w:lang w:val="en-US"/>
              </w:rPr>
              <w:t>Using section with the same purpose equivalent to IFRS for SME is most advantageous as it is familiar to most user.</w:t>
            </w:r>
          </w:p>
          <w:p w14:paraId="63EA2164" w14:textId="77777777" w:rsidR="0065626A" w:rsidRDefault="0065626A" w:rsidP="0065626A">
            <w:pPr>
              <w:pStyle w:val="ListParagraph"/>
              <w:numPr>
                <w:ilvl w:val="0"/>
                <w:numId w:val="20"/>
              </w:numPr>
              <w:jc w:val="both"/>
              <w:rPr>
                <w:rFonts w:ascii="Open Sans" w:hAnsi="Open Sans" w:cs="Open Sans"/>
                <w:b/>
                <w:bCs/>
                <w:sz w:val="20"/>
                <w:szCs w:val="20"/>
                <w:lang w:val="en-US"/>
              </w:rPr>
            </w:pPr>
            <w:r>
              <w:rPr>
                <w:rFonts w:ascii="Open Sans" w:hAnsi="Open Sans" w:cs="Open Sans"/>
                <w:b/>
                <w:bCs/>
                <w:sz w:val="20"/>
                <w:szCs w:val="20"/>
                <w:lang w:val="en-US"/>
              </w:rPr>
              <w:t>Publishing guidance in stages will allow due consideration to be given to the INPAG and particularly the priority areas.</w:t>
            </w:r>
          </w:p>
          <w:p w14:paraId="5EF1D752" w14:textId="42F8F55F" w:rsidR="0065626A" w:rsidRPr="0065626A" w:rsidRDefault="0065626A" w:rsidP="0065626A">
            <w:pPr>
              <w:pStyle w:val="ListParagraph"/>
              <w:numPr>
                <w:ilvl w:val="0"/>
                <w:numId w:val="20"/>
              </w:numPr>
              <w:jc w:val="both"/>
              <w:rPr>
                <w:rFonts w:ascii="Open Sans" w:hAnsi="Open Sans" w:cs="Open Sans"/>
                <w:b/>
                <w:bCs/>
                <w:sz w:val="20"/>
                <w:szCs w:val="20"/>
                <w:lang w:val="en-US"/>
              </w:rPr>
            </w:pPr>
            <w:r w:rsidRPr="0065626A">
              <w:rPr>
                <w:rFonts w:ascii="Open Sans" w:hAnsi="Open Sans" w:cs="Open Sans"/>
                <w:b/>
                <w:bCs/>
                <w:sz w:val="20"/>
                <w:szCs w:val="20"/>
                <w:lang w:val="en-US"/>
              </w:rPr>
              <w:t xml:space="preserve">Support provided through AG, IG and BC including specifying the authoritative and non-authoritative guidance will ease the application of INPAG.  </w:t>
            </w:r>
          </w:p>
        </w:tc>
      </w:tr>
      <w:tr w:rsidR="0065626A" w:rsidRPr="00EB6705" w14:paraId="403C1148" w14:textId="77777777" w:rsidTr="00710CE2">
        <w:tc>
          <w:tcPr>
            <w:tcW w:w="4388" w:type="dxa"/>
            <w:tcBorders>
              <w:top w:val="single" w:sz="4" w:space="0" w:color="auto"/>
            </w:tcBorders>
          </w:tcPr>
          <w:p w14:paraId="3433F775" w14:textId="29C71D49" w:rsidR="0065626A" w:rsidRPr="00EB6705" w:rsidRDefault="0065626A" w:rsidP="0065626A">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5626A" w:rsidRPr="00EB6705" w:rsidRDefault="0065626A" w:rsidP="0065626A">
            <w:pPr>
              <w:jc w:val="both"/>
              <w:rPr>
                <w:rFonts w:ascii="Open Sans" w:hAnsi="Open Sans" w:cs="Open Sans"/>
                <w:sz w:val="20"/>
                <w:szCs w:val="20"/>
                <w:lang w:val="en-US"/>
              </w:rPr>
            </w:pPr>
          </w:p>
        </w:tc>
        <w:tc>
          <w:tcPr>
            <w:tcW w:w="8282" w:type="dxa"/>
            <w:tcBorders>
              <w:top w:val="single" w:sz="4" w:space="0" w:color="auto"/>
            </w:tcBorders>
          </w:tcPr>
          <w:p w14:paraId="1B6D03EB" w14:textId="335C490B" w:rsidR="0065626A" w:rsidRPr="00EB6705" w:rsidRDefault="0065626A" w:rsidP="0065626A">
            <w:pPr>
              <w:jc w:val="both"/>
              <w:rPr>
                <w:rFonts w:ascii="Open Sans" w:hAnsi="Open Sans" w:cs="Open Sans"/>
                <w:b/>
                <w:bCs/>
                <w:sz w:val="20"/>
                <w:szCs w:val="20"/>
                <w:lang w:val="en-US"/>
              </w:rPr>
            </w:pPr>
            <w:r>
              <w:rPr>
                <w:rFonts w:ascii="Open Sans" w:hAnsi="Open Sans" w:cs="Open Sans"/>
                <w:b/>
                <w:bCs/>
                <w:sz w:val="20"/>
                <w:szCs w:val="20"/>
                <w:lang w:val="en-US"/>
              </w:rPr>
              <w:t>Consider and review proposed changes on IFRS for SME especially exchange revenue when considering ED 2</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6390E44F"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 xml:space="preserve">INPAG is </w:t>
            </w:r>
            <w:r w:rsidR="0065626A">
              <w:rPr>
                <w:rFonts w:ascii="Open Sans" w:hAnsi="Open Sans" w:cs="Open Sans"/>
                <w:sz w:val="20"/>
                <w:szCs w:val="20"/>
              </w:rPr>
              <w:t xml:space="preserve"> </w:t>
            </w:r>
            <w:r w:rsidRPr="001948B2">
              <w:rPr>
                <w:rFonts w:ascii="Open Sans" w:hAnsi="Open Sans" w:cs="Open Sans"/>
                <w:sz w:val="20"/>
                <w:szCs w:val="20"/>
              </w:rPr>
              <w:t>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3ABFC6EC" w14:textId="56B2B286" w:rsidR="00ED3497" w:rsidRPr="007A106E" w:rsidRDefault="007A106E" w:rsidP="007A106E">
            <w:pPr>
              <w:pStyle w:val="ListParagraph"/>
              <w:numPr>
                <w:ilvl w:val="0"/>
                <w:numId w:val="17"/>
              </w:numPr>
              <w:spacing w:before="120" w:after="120"/>
              <w:rPr>
                <w:rFonts w:ascii="Open Sans" w:hAnsi="Open Sans" w:cs="Open Sans"/>
                <w:b/>
                <w:bCs/>
                <w:sz w:val="20"/>
                <w:szCs w:val="20"/>
                <w:lang w:val="en-US"/>
              </w:rPr>
            </w:pPr>
            <w:r w:rsidRPr="007A106E">
              <w:rPr>
                <w:rFonts w:ascii="Open Sans" w:hAnsi="Open Sans" w:cs="Open Sans"/>
                <w:b/>
                <w:bCs/>
                <w:sz w:val="20"/>
                <w:szCs w:val="20"/>
                <w:lang w:val="en-US"/>
              </w:rPr>
              <w:t>We</w:t>
            </w:r>
            <w:r w:rsidR="00ED3497" w:rsidRPr="007A106E">
              <w:rPr>
                <w:rFonts w:ascii="Open Sans" w:hAnsi="Open Sans" w:cs="Open Sans"/>
                <w:b/>
                <w:bCs/>
                <w:sz w:val="20"/>
                <w:szCs w:val="20"/>
                <w:lang w:val="en-US"/>
              </w:rPr>
              <w:t xml:space="preserve"> agree on the broad description however</w:t>
            </w:r>
            <w:r w:rsidR="008D0E11">
              <w:rPr>
                <w:rFonts w:ascii="Open Sans" w:hAnsi="Open Sans" w:cs="Open Sans"/>
                <w:b/>
                <w:bCs/>
                <w:sz w:val="20"/>
                <w:szCs w:val="20"/>
                <w:lang w:val="en-US"/>
              </w:rPr>
              <w:t xml:space="preserve"> we </w:t>
            </w:r>
            <w:r w:rsidR="007267C3" w:rsidRPr="007A106E">
              <w:rPr>
                <w:rFonts w:ascii="Open Sans" w:hAnsi="Open Sans" w:cs="Open Sans"/>
                <w:b/>
                <w:bCs/>
                <w:sz w:val="20"/>
                <w:szCs w:val="20"/>
                <w:lang w:val="en-US"/>
              </w:rPr>
              <w:t>think a dissolution clause requiring the assets to be transferred to a similar entity would complete the broad description as much as it is covered on AG 1.2</w:t>
            </w:r>
            <w:r w:rsidR="00ED3497" w:rsidRPr="007A106E">
              <w:rPr>
                <w:rFonts w:ascii="Open Sans" w:hAnsi="Open Sans" w:cs="Open Sans"/>
                <w:b/>
                <w:bCs/>
                <w:sz w:val="20"/>
                <w:szCs w:val="20"/>
                <w:lang w:val="en-US"/>
              </w:rPr>
              <w:t xml:space="preserve"> </w:t>
            </w:r>
          </w:p>
          <w:p w14:paraId="3D24D0D2" w14:textId="77777777" w:rsidR="00ED3497" w:rsidRDefault="00ED3497" w:rsidP="00D90216">
            <w:pPr>
              <w:spacing w:before="120" w:after="120"/>
              <w:rPr>
                <w:rFonts w:ascii="Open Sans" w:hAnsi="Open Sans" w:cs="Open Sans"/>
                <w:b/>
                <w:bCs/>
                <w:sz w:val="20"/>
                <w:szCs w:val="20"/>
                <w:lang w:val="en-US"/>
              </w:rPr>
            </w:pPr>
          </w:p>
          <w:p w14:paraId="76DF1CE6" w14:textId="6E87864F" w:rsidR="00FE20EA" w:rsidRPr="007A106E" w:rsidRDefault="007A106E" w:rsidP="007A106E">
            <w:pPr>
              <w:pStyle w:val="ListParagraph"/>
              <w:numPr>
                <w:ilvl w:val="0"/>
                <w:numId w:val="17"/>
              </w:numPr>
              <w:spacing w:before="120" w:after="120"/>
              <w:rPr>
                <w:rFonts w:ascii="Open Sans" w:hAnsi="Open Sans" w:cs="Open Sans"/>
                <w:b/>
                <w:bCs/>
                <w:sz w:val="20"/>
                <w:szCs w:val="20"/>
                <w:lang w:val="en-US"/>
              </w:rPr>
            </w:pPr>
            <w:r w:rsidRPr="007A106E">
              <w:rPr>
                <w:rFonts w:ascii="Open Sans" w:hAnsi="Open Sans" w:cs="Open Sans"/>
                <w:sz w:val="20"/>
                <w:szCs w:val="20"/>
                <w:lang w:val="en-US"/>
              </w:rPr>
              <w:t xml:space="preserve">We </w:t>
            </w:r>
            <w:r w:rsidR="007267C3" w:rsidRPr="007A106E">
              <w:rPr>
                <w:rFonts w:ascii="Open Sans" w:hAnsi="Open Sans" w:cs="Open Sans"/>
                <w:sz w:val="20"/>
                <w:szCs w:val="20"/>
                <w:lang w:val="en-US"/>
              </w:rPr>
              <w:t xml:space="preserve">agree on </w:t>
            </w:r>
            <w:r w:rsidRPr="007A106E">
              <w:rPr>
                <w:rFonts w:ascii="Open Sans" w:hAnsi="Open Sans" w:cs="Open Sans"/>
                <w:sz w:val="20"/>
                <w:szCs w:val="20"/>
                <w:lang w:val="en-US"/>
              </w:rPr>
              <w:t>the general definition of p</w:t>
            </w:r>
            <w:r w:rsidR="007267C3" w:rsidRPr="007A106E">
              <w:rPr>
                <w:rFonts w:ascii="Open Sans" w:hAnsi="Open Sans" w:cs="Open Sans"/>
                <w:sz w:val="20"/>
                <w:szCs w:val="20"/>
                <w:lang w:val="en-US"/>
              </w:rPr>
              <w:t>roviding a benefit to the public</w:t>
            </w:r>
            <w:r w:rsidR="00425E50">
              <w:rPr>
                <w:rFonts w:ascii="Open Sans" w:hAnsi="Open Sans" w:cs="Open Sans"/>
                <w:sz w:val="20"/>
                <w:szCs w:val="20"/>
                <w:lang w:val="en-US"/>
              </w:rPr>
              <w:t xml:space="preserve"> and the additional guidance as given on G1.3</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568E97FD" w:rsidR="00A7789F" w:rsidRPr="00EB6705" w:rsidRDefault="007A106E"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w:t>
            </w:r>
            <w:r w:rsidR="009F3B43">
              <w:rPr>
                <w:rFonts w:ascii="Open Sans" w:hAnsi="Open Sans" w:cs="Open Sans"/>
                <w:b/>
                <w:bCs/>
                <w:sz w:val="20"/>
                <w:szCs w:val="20"/>
                <w:lang w:val="en-US"/>
              </w:rPr>
              <w:t>, sufficient guidelines have been provided.</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It introduces the categorisation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678F8ECE" w:rsidR="00FE20EA" w:rsidRPr="00EB6705" w:rsidRDefault="007A106E" w:rsidP="00E36F6E">
            <w:pPr>
              <w:rPr>
                <w:rFonts w:ascii="Open Sans" w:hAnsi="Open Sans" w:cs="Open Sans"/>
                <w:b/>
                <w:bCs/>
                <w:sz w:val="20"/>
                <w:szCs w:val="20"/>
                <w:lang w:val="en-US"/>
              </w:rPr>
            </w:pPr>
            <w:r>
              <w:rPr>
                <w:rFonts w:ascii="Open Sans" w:hAnsi="Open Sans" w:cs="Open Sans"/>
                <w:b/>
                <w:bCs/>
                <w:sz w:val="20"/>
                <w:szCs w:val="20"/>
                <w:lang w:val="en-US"/>
              </w:rPr>
              <w:t>Yes we agree</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653DCABB" w:rsidR="00FE20EA" w:rsidRPr="00EB6705" w:rsidRDefault="00D93661" w:rsidP="00E36F6E">
            <w:pPr>
              <w:rPr>
                <w:rFonts w:ascii="Open Sans" w:hAnsi="Open Sans" w:cs="Open Sans"/>
                <w:b/>
                <w:bCs/>
                <w:sz w:val="20"/>
                <w:szCs w:val="20"/>
                <w:lang w:val="en-US"/>
              </w:rPr>
            </w:pPr>
            <w:r>
              <w:rPr>
                <w:rFonts w:ascii="Open Sans" w:hAnsi="Open Sans" w:cs="Open Sans"/>
                <w:b/>
                <w:bCs/>
                <w:sz w:val="20"/>
                <w:szCs w:val="20"/>
                <w:lang w:val="en-US"/>
              </w:rPr>
              <w:t>Yes we agree</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3EF046A4" w14:textId="050D680B" w:rsidR="00A303B5" w:rsidRDefault="00D93661" w:rsidP="0081321F">
            <w:pPr>
              <w:pStyle w:val="ListParagraph"/>
              <w:numPr>
                <w:ilvl w:val="0"/>
                <w:numId w:val="18"/>
              </w:numPr>
              <w:rPr>
                <w:rFonts w:ascii="Open Sans" w:hAnsi="Open Sans" w:cs="Open Sans"/>
                <w:b/>
                <w:bCs/>
                <w:sz w:val="20"/>
                <w:szCs w:val="20"/>
                <w:lang w:val="en-US"/>
              </w:rPr>
            </w:pPr>
            <w:r w:rsidRPr="0081321F">
              <w:rPr>
                <w:rFonts w:ascii="Open Sans" w:hAnsi="Open Sans" w:cs="Open Sans"/>
                <w:b/>
                <w:bCs/>
                <w:sz w:val="20"/>
                <w:szCs w:val="20"/>
                <w:lang w:val="en-US"/>
              </w:rPr>
              <w:t>The term Net Assets does</w:t>
            </w:r>
            <w:r w:rsidR="00425E50">
              <w:rPr>
                <w:rFonts w:ascii="Open Sans" w:hAnsi="Open Sans" w:cs="Open Sans"/>
                <w:b/>
                <w:bCs/>
                <w:sz w:val="20"/>
                <w:szCs w:val="20"/>
                <w:lang w:val="en-US"/>
              </w:rPr>
              <w:t xml:space="preserve"> not</w:t>
            </w:r>
            <w:r w:rsidR="00E575AC">
              <w:rPr>
                <w:rFonts w:ascii="Open Sans" w:hAnsi="Open Sans" w:cs="Open Sans"/>
                <w:b/>
                <w:bCs/>
                <w:sz w:val="20"/>
                <w:szCs w:val="20"/>
                <w:lang w:val="en-US"/>
              </w:rPr>
              <w:t xml:space="preserve"> resonate well N</w:t>
            </w:r>
            <w:r w:rsidRPr="0081321F">
              <w:rPr>
                <w:rFonts w:ascii="Open Sans" w:hAnsi="Open Sans" w:cs="Open Sans"/>
                <w:b/>
                <w:bCs/>
                <w:sz w:val="20"/>
                <w:szCs w:val="20"/>
                <w:lang w:val="en-US"/>
              </w:rPr>
              <w:t>P</w:t>
            </w:r>
            <w:r w:rsidR="00E575AC">
              <w:rPr>
                <w:rFonts w:ascii="Open Sans" w:hAnsi="Open Sans" w:cs="Open Sans"/>
                <w:b/>
                <w:bCs/>
                <w:sz w:val="20"/>
                <w:szCs w:val="20"/>
                <w:lang w:val="en-US"/>
              </w:rPr>
              <w:t>O</w:t>
            </w:r>
            <w:r w:rsidRPr="0081321F">
              <w:rPr>
                <w:rFonts w:ascii="Open Sans" w:hAnsi="Open Sans" w:cs="Open Sans"/>
                <w:b/>
                <w:bCs/>
                <w:sz w:val="20"/>
                <w:szCs w:val="20"/>
                <w:lang w:val="en-US"/>
              </w:rPr>
              <w:t xml:space="preserve"> for describing residual funds f</w:t>
            </w:r>
            <w:r w:rsidR="00E575AC">
              <w:rPr>
                <w:rFonts w:ascii="Open Sans" w:hAnsi="Open Sans" w:cs="Open Sans"/>
                <w:b/>
                <w:bCs/>
                <w:sz w:val="20"/>
                <w:szCs w:val="20"/>
                <w:lang w:val="en-US"/>
              </w:rPr>
              <w:t>or</w:t>
            </w:r>
            <w:r w:rsidRPr="0081321F">
              <w:rPr>
                <w:rFonts w:ascii="Open Sans" w:hAnsi="Open Sans" w:cs="Open Sans"/>
                <w:b/>
                <w:bCs/>
                <w:sz w:val="20"/>
                <w:szCs w:val="20"/>
                <w:lang w:val="en-US"/>
              </w:rPr>
              <w:t xml:space="preserve"> NPO. </w:t>
            </w:r>
          </w:p>
          <w:p w14:paraId="2ED48988" w14:textId="3EFDACB2" w:rsidR="00A303B5" w:rsidRDefault="00D93661" w:rsidP="00A303B5">
            <w:pPr>
              <w:pStyle w:val="ListParagraph"/>
              <w:numPr>
                <w:ilvl w:val="0"/>
                <w:numId w:val="18"/>
              </w:numPr>
              <w:rPr>
                <w:rFonts w:ascii="Open Sans" w:hAnsi="Open Sans" w:cs="Open Sans"/>
                <w:b/>
                <w:bCs/>
                <w:sz w:val="20"/>
                <w:szCs w:val="20"/>
                <w:lang w:val="en-US"/>
              </w:rPr>
            </w:pPr>
            <w:r w:rsidRPr="0081321F">
              <w:rPr>
                <w:rFonts w:ascii="Open Sans" w:hAnsi="Open Sans" w:cs="Open Sans"/>
                <w:b/>
                <w:bCs/>
                <w:sz w:val="20"/>
                <w:szCs w:val="20"/>
                <w:lang w:val="en-US"/>
              </w:rPr>
              <w:t>The word general fund or accumulate funds resonate</w:t>
            </w:r>
            <w:r w:rsidR="0081321F" w:rsidRPr="0081321F">
              <w:rPr>
                <w:rFonts w:ascii="Open Sans" w:hAnsi="Open Sans" w:cs="Open Sans"/>
                <w:b/>
                <w:bCs/>
                <w:sz w:val="20"/>
                <w:szCs w:val="20"/>
                <w:lang w:val="en-US"/>
              </w:rPr>
              <w:t>s</w:t>
            </w:r>
            <w:r w:rsidRPr="0081321F">
              <w:rPr>
                <w:rFonts w:ascii="Open Sans" w:hAnsi="Open Sans" w:cs="Open Sans"/>
                <w:b/>
                <w:bCs/>
                <w:sz w:val="20"/>
                <w:szCs w:val="20"/>
                <w:lang w:val="en-US"/>
              </w:rPr>
              <w:t xml:space="preserve"> well with NPO which would ideally</w:t>
            </w:r>
            <w:r w:rsidR="00A303B5">
              <w:rPr>
                <w:rFonts w:ascii="Open Sans" w:hAnsi="Open Sans" w:cs="Open Sans"/>
                <w:b/>
                <w:bCs/>
                <w:sz w:val="20"/>
                <w:szCs w:val="20"/>
                <w:lang w:val="en-US"/>
              </w:rPr>
              <w:t xml:space="preserve"> comprise</w:t>
            </w:r>
            <w:r w:rsidRPr="0081321F">
              <w:rPr>
                <w:rFonts w:ascii="Open Sans" w:hAnsi="Open Sans" w:cs="Open Sans"/>
                <w:b/>
                <w:bCs/>
                <w:sz w:val="20"/>
                <w:szCs w:val="20"/>
                <w:lang w:val="en-US"/>
              </w:rPr>
              <w:t xml:space="preserve"> residual surplus from </w:t>
            </w:r>
            <w:r w:rsidR="00E575AC">
              <w:rPr>
                <w:rFonts w:ascii="Open Sans" w:hAnsi="Open Sans" w:cs="Open Sans"/>
                <w:b/>
                <w:bCs/>
                <w:sz w:val="20"/>
                <w:szCs w:val="20"/>
                <w:lang w:val="en-US"/>
              </w:rPr>
              <w:t>un-</w:t>
            </w:r>
            <w:r w:rsidRPr="0081321F">
              <w:rPr>
                <w:rFonts w:ascii="Open Sans" w:hAnsi="Open Sans" w:cs="Open Sans"/>
                <w:b/>
                <w:bCs/>
                <w:sz w:val="20"/>
                <w:szCs w:val="20"/>
                <w:lang w:val="en-US"/>
              </w:rPr>
              <w:t>restricted funds i.e. un-restricted funds that are available for used by the NPO.</w:t>
            </w:r>
          </w:p>
          <w:p w14:paraId="57604E81" w14:textId="13CA74C6" w:rsidR="00FE20EA" w:rsidRDefault="0081321F" w:rsidP="00A303B5">
            <w:pPr>
              <w:pStyle w:val="ListParagraph"/>
              <w:numPr>
                <w:ilvl w:val="0"/>
                <w:numId w:val="18"/>
              </w:numPr>
              <w:rPr>
                <w:rFonts w:ascii="Open Sans" w:hAnsi="Open Sans" w:cs="Open Sans"/>
                <w:b/>
                <w:bCs/>
                <w:sz w:val="20"/>
                <w:szCs w:val="20"/>
                <w:lang w:val="en-US"/>
              </w:rPr>
            </w:pPr>
            <w:r w:rsidRPr="0081321F">
              <w:rPr>
                <w:rFonts w:ascii="Open Sans" w:hAnsi="Open Sans" w:cs="Open Sans"/>
                <w:b/>
                <w:bCs/>
                <w:sz w:val="20"/>
                <w:szCs w:val="20"/>
                <w:lang w:val="en-US"/>
              </w:rPr>
              <w:t xml:space="preserve">Other </w:t>
            </w:r>
            <w:r w:rsidR="00A303B5">
              <w:rPr>
                <w:rFonts w:ascii="Open Sans" w:hAnsi="Open Sans" w:cs="Open Sans"/>
                <w:b/>
                <w:bCs/>
                <w:sz w:val="20"/>
                <w:szCs w:val="20"/>
                <w:lang w:val="en-US"/>
              </w:rPr>
              <w:t xml:space="preserve">reserve sitting under the general </w:t>
            </w:r>
            <w:r w:rsidRPr="0081321F">
              <w:rPr>
                <w:rFonts w:ascii="Open Sans" w:hAnsi="Open Sans" w:cs="Open Sans"/>
                <w:b/>
                <w:bCs/>
                <w:sz w:val="20"/>
                <w:szCs w:val="20"/>
                <w:lang w:val="en-US"/>
              </w:rPr>
              <w:t>funds</w:t>
            </w:r>
            <w:r w:rsidR="00A303B5">
              <w:rPr>
                <w:rFonts w:ascii="Open Sans" w:hAnsi="Open Sans" w:cs="Open Sans"/>
                <w:b/>
                <w:bCs/>
                <w:sz w:val="20"/>
                <w:szCs w:val="20"/>
                <w:lang w:val="en-US"/>
              </w:rPr>
              <w:t xml:space="preserve"> would be special reserves appropriated out of the general reserve for specific purpose </w:t>
            </w:r>
            <w:r w:rsidR="00425E50">
              <w:rPr>
                <w:rFonts w:ascii="Open Sans" w:hAnsi="Open Sans" w:cs="Open Sans"/>
                <w:b/>
                <w:bCs/>
                <w:sz w:val="20"/>
                <w:szCs w:val="20"/>
                <w:lang w:val="en-US"/>
              </w:rPr>
              <w:t>e.g.</w:t>
            </w:r>
            <w:r w:rsidR="00A303B5">
              <w:rPr>
                <w:rFonts w:ascii="Open Sans" w:hAnsi="Open Sans" w:cs="Open Sans"/>
                <w:b/>
                <w:bCs/>
                <w:sz w:val="20"/>
                <w:szCs w:val="20"/>
                <w:lang w:val="en-US"/>
              </w:rPr>
              <w:t xml:space="preserve"> revolving fund, capital reserve, endowment fund etc.</w:t>
            </w:r>
          </w:p>
          <w:p w14:paraId="5B317F08" w14:textId="01F488E9" w:rsidR="00A303B5" w:rsidRPr="0081321F" w:rsidRDefault="00A303B5" w:rsidP="00A303B5">
            <w:pPr>
              <w:pStyle w:val="ListParagraph"/>
              <w:numPr>
                <w:ilvl w:val="0"/>
                <w:numId w:val="18"/>
              </w:numPr>
              <w:rPr>
                <w:rFonts w:ascii="Open Sans" w:hAnsi="Open Sans" w:cs="Open Sans"/>
                <w:b/>
                <w:bCs/>
                <w:sz w:val="20"/>
                <w:szCs w:val="20"/>
                <w:lang w:val="en-US"/>
              </w:rPr>
            </w:pPr>
            <w:r>
              <w:rPr>
                <w:rFonts w:ascii="Open Sans" w:hAnsi="Open Sans" w:cs="Open Sans"/>
                <w:b/>
                <w:bCs/>
                <w:sz w:val="20"/>
                <w:szCs w:val="20"/>
                <w:lang w:val="en-US"/>
              </w:rPr>
              <w:t xml:space="preserve">Any other restricted funds should be ideally be sitting as </w:t>
            </w:r>
            <w:r w:rsidR="00425E50">
              <w:rPr>
                <w:rFonts w:ascii="Open Sans" w:hAnsi="Open Sans" w:cs="Open Sans"/>
                <w:b/>
                <w:bCs/>
                <w:sz w:val="20"/>
                <w:szCs w:val="20"/>
                <w:lang w:val="en-US"/>
              </w:rPr>
              <w:t xml:space="preserve">either short or long term deferred/advance income as </w:t>
            </w:r>
            <w:r w:rsidR="00E575AC">
              <w:rPr>
                <w:rFonts w:ascii="Open Sans" w:hAnsi="Open Sans" w:cs="Open Sans"/>
                <w:b/>
                <w:bCs/>
                <w:sz w:val="20"/>
                <w:szCs w:val="20"/>
                <w:lang w:val="en-US"/>
              </w:rPr>
              <w:t>liabilities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5DFFEDF8" w:rsidR="00FE20EA" w:rsidRPr="00A303B5" w:rsidRDefault="00A303B5" w:rsidP="00425E50">
            <w:pPr>
              <w:pStyle w:val="ListParagraph"/>
              <w:numPr>
                <w:ilvl w:val="0"/>
                <w:numId w:val="19"/>
              </w:numPr>
              <w:rPr>
                <w:rFonts w:ascii="Open Sans" w:hAnsi="Open Sans" w:cs="Open Sans"/>
                <w:b/>
                <w:bCs/>
                <w:sz w:val="20"/>
                <w:szCs w:val="20"/>
                <w:lang w:val="en-US"/>
              </w:rPr>
            </w:pPr>
            <w:r w:rsidRPr="00A303B5">
              <w:rPr>
                <w:rFonts w:ascii="Open Sans" w:hAnsi="Open Sans" w:cs="Open Sans"/>
                <w:b/>
                <w:bCs/>
                <w:sz w:val="20"/>
                <w:szCs w:val="20"/>
                <w:lang w:val="en-US"/>
              </w:rPr>
              <w:t>The word equity is not synonymous to NPO as e</w:t>
            </w:r>
            <w:r w:rsidR="0081321F" w:rsidRPr="00A303B5">
              <w:rPr>
                <w:rFonts w:ascii="Open Sans" w:hAnsi="Open Sans" w:cs="Open Sans"/>
                <w:b/>
                <w:bCs/>
                <w:sz w:val="20"/>
                <w:szCs w:val="20"/>
                <w:lang w:val="en-US"/>
              </w:rPr>
              <w:t>quity is the residual interest for profit</w:t>
            </w:r>
            <w:r w:rsidRPr="00A303B5">
              <w:rPr>
                <w:rFonts w:ascii="Open Sans" w:hAnsi="Open Sans" w:cs="Open Sans"/>
                <w:b/>
                <w:bCs/>
                <w:sz w:val="20"/>
                <w:szCs w:val="20"/>
                <w:lang w:val="en-US"/>
              </w:rPr>
              <w:t xml:space="preserve"> organization. Majority of NPO don’t have equity as there is no residual </w:t>
            </w:r>
            <w:r w:rsidR="00425E50">
              <w:rPr>
                <w:rFonts w:ascii="Open Sans" w:hAnsi="Open Sans" w:cs="Open Sans"/>
                <w:b/>
                <w:bCs/>
                <w:sz w:val="20"/>
                <w:szCs w:val="20"/>
                <w:lang w:val="en-US"/>
              </w:rPr>
              <w:t>interest on the accumulated surplus i.e. not available for distribution</w:t>
            </w:r>
            <w:r w:rsidRPr="00A303B5">
              <w:rPr>
                <w:rFonts w:ascii="Open Sans" w:hAnsi="Open Sans" w:cs="Open Sans"/>
                <w:b/>
                <w:bCs/>
                <w:sz w:val="20"/>
                <w:szCs w:val="20"/>
                <w:lang w:val="en-US"/>
              </w:rPr>
              <w:t>. For NPO the same could be capital reserve or contribution</w:t>
            </w:r>
            <w:r w:rsidR="00425E50">
              <w:rPr>
                <w:rFonts w:ascii="Open Sans" w:hAnsi="Open Sans" w:cs="Open Sans"/>
                <w:b/>
                <w:bCs/>
                <w:sz w:val="20"/>
                <w:szCs w:val="20"/>
                <w:lang w:val="en-US"/>
              </w:rPr>
              <w:t xml:space="preserve"> that was initially inject to start the NPO</w:t>
            </w:r>
            <w:r w:rsidRPr="00A303B5">
              <w:rPr>
                <w:rFonts w:ascii="Open Sans" w:hAnsi="Open Sans" w:cs="Open Sans"/>
                <w:b/>
                <w:bCs/>
                <w:sz w:val="20"/>
                <w:szCs w:val="20"/>
                <w:lang w:val="en-US"/>
              </w:rPr>
              <w:t xml:space="preserve">. </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categorisation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77E85483" w:rsidR="00FE20EA" w:rsidRPr="00E213FC" w:rsidRDefault="00425E50" w:rsidP="00E213FC">
            <w:pPr>
              <w:pStyle w:val="ListParagraph"/>
              <w:numPr>
                <w:ilvl w:val="0"/>
                <w:numId w:val="19"/>
              </w:numPr>
              <w:rPr>
                <w:rFonts w:ascii="Open Sans" w:hAnsi="Open Sans" w:cs="Open Sans"/>
                <w:b/>
                <w:bCs/>
                <w:sz w:val="20"/>
                <w:szCs w:val="20"/>
                <w:lang w:val="en-US"/>
              </w:rPr>
            </w:pPr>
            <w:r w:rsidRPr="00E213FC">
              <w:rPr>
                <w:rFonts w:ascii="Open Sans" w:hAnsi="Open Sans" w:cs="Open Sans"/>
                <w:b/>
                <w:bCs/>
                <w:sz w:val="20"/>
                <w:szCs w:val="20"/>
                <w:lang w:val="en-US"/>
              </w:rPr>
              <w:t xml:space="preserve">We agree with </w:t>
            </w:r>
            <w:r w:rsidR="00E213FC" w:rsidRPr="00E213FC">
              <w:rPr>
                <w:rFonts w:ascii="Open Sans" w:hAnsi="Open Sans" w:cs="Open Sans"/>
                <w:b/>
                <w:bCs/>
                <w:sz w:val="20"/>
                <w:szCs w:val="20"/>
                <w:lang w:val="en-US"/>
              </w:rPr>
              <w:t>categorization between restricted and unrestricted. However, there has to be clarity on the classification on the balance sheet. Ideally restricted funds should sit as either long or short term liabilities.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45752544" w:rsidR="00FE20EA" w:rsidRPr="00E213FC" w:rsidRDefault="002413E6" w:rsidP="00E213FC">
            <w:pPr>
              <w:pStyle w:val="ListParagraph"/>
              <w:numPr>
                <w:ilvl w:val="0"/>
                <w:numId w:val="19"/>
              </w:numPr>
              <w:rPr>
                <w:rFonts w:ascii="Open Sans" w:hAnsi="Open Sans" w:cs="Open Sans"/>
                <w:b/>
                <w:bCs/>
                <w:sz w:val="20"/>
                <w:szCs w:val="20"/>
                <w:lang w:val="en-US"/>
              </w:rPr>
            </w:pPr>
            <w:r>
              <w:rPr>
                <w:rFonts w:ascii="Open Sans" w:hAnsi="Open Sans" w:cs="Open Sans"/>
                <w:b/>
                <w:bCs/>
                <w:sz w:val="20"/>
                <w:szCs w:val="20"/>
                <w:lang w:val="en-US"/>
              </w:rPr>
              <w:t xml:space="preserve">As highlighted in d we </w:t>
            </w:r>
            <w:r w:rsidR="00E213FC" w:rsidRPr="00E213FC">
              <w:rPr>
                <w:rFonts w:ascii="Open Sans" w:hAnsi="Open Sans" w:cs="Open Sans"/>
                <w:b/>
                <w:bCs/>
                <w:sz w:val="20"/>
                <w:szCs w:val="20"/>
                <w:lang w:val="en-US"/>
              </w:rPr>
              <w:t xml:space="preserve">propose the element of equity be excluded as one common NPO characteristic is lack of residual interest in the accumulated surplus </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14736838" w:rsidR="00FE20EA" w:rsidRPr="00EB6705" w:rsidRDefault="00DA23F7" w:rsidP="00DA23F7">
            <w:pPr>
              <w:pStyle w:val="ListParagraph"/>
              <w:numPr>
                <w:ilvl w:val="0"/>
                <w:numId w:val="19"/>
              </w:numPr>
              <w:rPr>
                <w:rFonts w:ascii="Open Sans" w:hAnsi="Open Sans" w:cs="Open Sans"/>
                <w:b/>
                <w:bCs/>
                <w:sz w:val="20"/>
                <w:szCs w:val="20"/>
                <w:lang w:val="en-US"/>
              </w:rPr>
            </w:pPr>
            <w:r>
              <w:rPr>
                <w:rFonts w:ascii="Open Sans" w:hAnsi="Open Sans" w:cs="Open Sans"/>
                <w:b/>
                <w:bCs/>
                <w:sz w:val="20"/>
                <w:szCs w:val="20"/>
                <w:lang w:val="en-US"/>
              </w:rPr>
              <w:t>Yes, we feel this is an important concept as most NPO provide services without an expectation of return.</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58DAFB15" w:rsidR="00FE20EA" w:rsidRPr="00EB6705" w:rsidRDefault="00CD2B6B" w:rsidP="002413E6">
            <w:pPr>
              <w:rPr>
                <w:rFonts w:ascii="Open Sans" w:hAnsi="Open Sans" w:cs="Open Sans"/>
                <w:b/>
                <w:bCs/>
                <w:sz w:val="20"/>
                <w:szCs w:val="20"/>
                <w:lang w:val="en-US"/>
              </w:rPr>
            </w:pPr>
            <w:r>
              <w:rPr>
                <w:rFonts w:ascii="Open Sans" w:hAnsi="Open Sans" w:cs="Open Sans"/>
                <w:b/>
                <w:bCs/>
                <w:sz w:val="20"/>
                <w:szCs w:val="20"/>
                <w:lang w:val="en-US"/>
              </w:rPr>
              <w:t>Yes, we a</w:t>
            </w:r>
            <w:r w:rsidR="002413E6">
              <w:rPr>
                <w:rFonts w:ascii="Open Sans" w:hAnsi="Open Sans" w:cs="Open Sans"/>
                <w:b/>
                <w:bCs/>
                <w:sz w:val="20"/>
                <w:szCs w:val="20"/>
                <w:lang w:val="en-US"/>
              </w:rPr>
              <w:t xml:space="preserve">gree that the same be included. </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676FE01B" w:rsidR="007A3859" w:rsidRPr="00EB6705" w:rsidRDefault="00130856" w:rsidP="007A3859">
            <w:pPr>
              <w:jc w:val="both"/>
              <w:rPr>
                <w:rFonts w:ascii="Open Sans" w:hAnsi="Open Sans" w:cs="Open Sans"/>
                <w:b/>
                <w:bCs/>
                <w:sz w:val="20"/>
                <w:szCs w:val="20"/>
                <w:lang w:val="en-US"/>
              </w:rPr>
            </w:pPr>
            <w:r>
              <w:rPr>
                <w:rFonts w:ascii="Open Sans" w:hAnsi="Open Sans" w:cs="Open Sans"/>
                <w:b/>
                <w:bCs/>
                <w:sz w:val="20"/>
                <w:szCs w:val="20"/>
                <w:lang w:val="en-US"/>
              </w:rPr>
              <w:t>Yes, however occurrence of internal branches required to produce GPFR in other jurisdictions is not rare. In most cases, international NPOs operate as branches in other jurisdictions.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130856" w:rsidRPr="00EB6705" w14:paraId="7A75EB3D" w14:textId="77777777" w:rsidTr="00A276B0">
        <w:tc>
          <w:tcPr>
            <w:tcW w:w="4388" w:type="dxa"/>
          </w:tcPr>
          <w:p w14:paraId="5F31E29E" w14:textId="50B2265F" w:rsidR="00130856" w:rsidRPr="0054631C"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130856" w:rsidRPr="00EB6705" w:rsidRDefault="00130856" w:rsidP="00130856">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130856" w:rsidRPr="00EB6705" w:rsidRDefault="00130856" w:rsidP="00130856">
            <w:pPr>
              <w:rPr>
                <w:rFonts w:ascii="Open Sans" w:hAnsi="Open Sans" w:cs="Open Sans"/>
                <w:b/>
                <w:bCs/>
                <w:sz w:val="20"/>
                <w:szCs w:val="20"/>
                <w:lang w:val="en-US"/>
              </w:rPr>
            </w:pPr>
          </w:p>
        </w:tc>
        <w:tc>
          <w:tcPr>
            <w:tcW w:w="8282" w:type="dxa"/>
          </w:tcPr>
          <w:p w14:paraId="1501A078" w14:textId="31C86A85" w:rsidR="00130856" w:rsidRPr="00EB6705" w:rsidRDefault="00130856" w:rsidP="00130856">
            <w:pPr>
              <w:rPr>
                <w:rFonts w:ascii="Open Sans" w:hAnsi="Open Sans" w:cs="Open Sans"/>
                <w:b/>
                <w:bCs/>
                <w:sz w:val="20"/>
                <w:szCs w:val="20"/>
                <w:lang w:val="en-US"/>
              </w:rPr>
            </w:pPr>
            <w:r>
              <w:rPr>
                <w:rFonts w:ascii="Open Sans" w:hAnsi="Open Sans" w:cs="Open Sans"/>
                <w:b/>
                <w:bCs/>
                <w:sz w:val="20"/>
                <w:szCs w:val="20"/>
                <w:lang w:val="en-US"/>
              </w:rPr>
              <w:t xml:space="preserve">Yes as they are most relevant and </w:t>
            </w:r>
            <w:r w:rsidRPr="00EE7CC0">
              <w:rPr>
                <w:rFonts w:ascii="Open Sans" w:hAnsi="Open Sans" w:cs="Open Sans"/>
                <w:b/>
                <w:bCs/>
                <w:sz w:val="20"/>
                <w:szCs w:val="20"/>
                <w:lang w:val="en-US"/>
              </w:rPr>
              <w:t>better understood</w:t>
            </w:r>
            <w:r>
              <w:rPr>
                <w:rFonts w:ascii="Open Sans" w:hAnsi="Open Sans" w:cs="Open Sans"/>
                <w:b/>
                <w:bCs/>
                <w:sz w:val="20"/>
                <w:szCs w:val="20"/>
                <w:lang w:val="en-US"/>
              </w:rPr>
              <w:t xml:space="preserve"> in the context of NPO.</w:t>
            </w:r>
          </w:p>
        </w:tc>
      </w:tr>
      <w:tr w:rsidR="00130856" w:rsidRPr="00EB6705" w14:paraId="7B5338DB" w14:textId="77777777" w:rsidTr="00A276B0">
        <w:tc>
          <w:tcPr>
            <w:tcW w:w="4388" w:type="dxa"/>
          </w:tcPr>
          <w:p w14:paraId="34DBC0EB" w14:textId="65E10D2F" w:rsidR="00130856" w:rsidRPr="0054631C"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130856" w:rsidRPr="00EB6705" w:rsidRDefault="00130856" w:rsidP="00130856">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130856" w:rsidRPr="00EB6705" w:rsidRDefault="00130856" w:rsidP="00130856">
            <w:pPr>
              <w:rPr>
                <w:rFonts w:ascii="Open Sans" w:hAnsi="Open Sans" w:cs="Open Sans"/>
                <w:b/>
                <w:bCs/>
                <w:sz w:val="20"/>
                <w:szCs w:val="20"/>
                <w:lang w:val="en-US"/>
              </w:rPr>
            </w:pPr>
          </w:p>
        </w:tc>
        <w:tc>
          <w:tcPr>
            <w:tcW w:w="8282" w:type="dxa"/>
          </w:tcPr>
          <w:p w14:paraId="180836FD" w14:textId="3911235E" w:rsidR="004D5508" w:rsidRDefault="004D5508" w:rsidP="004D5508">
            <w:pPr>
              <w:rPr>
                <w:rFonts w:ascii="Open Sans" w:hAnsi="Open Sans" w:cs="Open Sans"/>
                <w:b/>
                <w:bCs/>
                <w:sz w:val="20"/>
                <w:szCs w:val="20"/>
                <w:lang w:val="en-US"/>
              </w:rPr>
            </w:pPr>
            <w:r>
              <w:rPr>
                <w:rFonts w:ascii="Open Sans" w:hAnsi="Open Sans" w:cs="Open Sans"/>
                <w:b/>
                <w:bCs/>
                <w:sz w:val="20"/>
                <w:szCs w:val="20"/>
                <w:lang w:val="en-US"/>
              </w:rPr>
              <w:t>Yes, to enhance usefulness of the information in the</w:t>
            </w:r>
            <w:r w:rsidRPr="003D1E47">
              <w:rPr>
                <w:rFonts w:ascii="Open Sans" w:hAnsi="Open Sans" w:cs="Open Sans"/>
                <w:b/>
                <w:bCs/>
                <w:sz w:val="20"/>
                <w:szCs w:val="20"/>
                <w:lang w:val="en-US"/>
              </w:rPr>
              <w:t xml:space="preserve"> current period’s financial statements</w:t>
            </w:r>
            <w:r>
              <w:rPr>
                <w:rFonts w:ascii="Open Sans" w:hAnsi="Open Sans" w:cs="Open Sans"/>
                <w:b/>
                <w:bCs/>
                <w:sz w:val="20"/>
                <w:szCs w:val="20"/>
                <w:lang w:val="en-US"/>
              </w:rPr>
              <w:t>.</w:t>
            </w:r>
          </w:p>
          <w:p w14:paraId="19A8C9D2" w14:textId="53E1C9D1" w:rsidR="00130856" w:rsidRPr="00EB6705" w:rsidRDefault="00130856" w:rsidP="00130856">
            <w:pPr>
              <w:rPr>
                <w:rFonts w:ascii="Open Sans" w:hAnsi="Open Sans" w:cs="Open Sans"/>
                <w:b/>
                <w:bCs/>
                <w:sz w:val="20"/>
                <w:szCs w:val="20"/>
                <w:lang w:val="en-US"/>
              </w:rPr>
            </w:pPr>
          </w:p>
        </w:tc>
      </w:tr>
      <w:tr w:rsidR="00130856" w:rsidRPr="00EB6705" w14:paraId="6A190DDD" w14:textId="1FA8E7CF" w:rsidTr="00A276B0">
        <w:tc>
          <w:tcPr>
            <w:tcW w:w="4388" w:type="dxa"/>
          </w:tcPr>
          <w:p w14:paraId="3FBDA96A" w14:textId="77777777" w:rsidR="00130856" w:rsidRPr="00EB6705"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130856" w:rsidRPr="00EB6705" w:rsidRDefault="00130856" w:rsidP="00130856">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0E0B0E98" w:rsidR="00130856" w:rsidRPr="00EB6705" w:rsidRDefault="00130856" w:rsidP="00130856">
            <w:pPr>
              <w:rPr>
                <w:rFonts w:ascii="Open Sans" w:hAnsi="Open Sans" w:cs="Open Sans"/>
                <w:b/>
                <w:bCs/>
                <w:sz w:val="20"/>
                <w:szCs w:val="20"/>
                <w:lang w:val="en-US"/>
              </w:rPr>
            </w:pPr>
            <w:r>
              <w:rPr>
                <w:rFonts w:ascii="Open Sans" w:hAnsi="Open Sans" w:cs="Open Sans"/>
                <w:b/>
                <w:bCs/>
                <w:sz w:val="20"/>
                <w:szCs w:val="20"/>
                <w:lang w:val="en-US"/>
              </w:rPr>
              <w:t>None</w:t>
            </w:r>
            <w:r w:rsidR="000C4B96">
              <w:rPr>
                <w:rFonts w:ascii="Open Sans" w:hAnsi="Open Sans" w:cs="Open Sans"/>
                <w:b/>
                <w:bCs/>
                <w:sz w:val="20"/>
                <w:szCs w:val="20"/>
                <w:lang w:val="en-US"/>
              </w:rPr>
              <w:t xml:space="preserve"> that we have identified </w:t>
            </w:r>
            <w:r w:rsidR="000C4B96">
              <w:rPr>
                <w:rFonts w:ascii="Open Sans" w:hAnsi="Open Sans" w:cs="Open Sans"/>
                <w:b/>
                <w:bCs/>
                <w:sz w:val="20"/>
                <w:szCs w:val="20"/>
                <w:lang w:val="en-US"/>
              </w:rPr>
              <w:t xml:space="preserve">and particularly given that </w:t>
            </w:r>
            <w:r w:rsidR="000C4B96" w:rsidRPr="00A64ED4">
              <w:rPr>
                <w:rFonts w:ascii="Open Sans" w:hAnsi="Open Sans" w:cs="Open Sans"/>
                <w:b/>
                <w:bCs/>
                <w:sz w:val="20"/>
                <w:szCs w:val="20"/>
                <w:lang w:val="en-US"/>
              </w:rPr>
              <w:t>specific adoption timeframes may be permit</w:t>
            </w:r>
            <w:r w:rsidR="000C4B96">
              <w:rPr>
                <w:rFonts w:ascii="Open Sans" w:hAnsi="Open Sans" w:cs="Open Sans"/>
                <w:b/>
                <w:bCs/>
                <w:sz w:val="20"/>
                <w:szCs w:val="20"/>
                <w:lang w:val="en-US"/>
              </w:rPr>
              <w:t xml:space="preserve">ted and there will be requirements in Section 36 </w:t>
            </w:r>
            <w:r w:rsidR="000C4B96" w:rsidRPr="00A64ED4">
              <w:rPr>
                <w:rFonts w:ascii="Open Sans" w:hAnsi="Open Sans" w:cs="Open Sans"/>
                <w:b/>
                <w:bCs/>
                <w:sz w:val="20"/>
                <w:szCs w:val="20"/>
                <w:lang w:val="en-US"/>
              </w:rPr>
              <w:t>– Transition to the Guidance</w:t>
            </w:r>
            <w:r w:rsidR="000C4B96">
              <w:rPr>
                <w:rFonts w:ascii="Open Sans" w:hAnsi="Open Sans" w:cs="Open Sans"/>
                <w:b/>
                <w:bCs/>
                <w:sz w:val="20"/>
                <w:szCs w:val="20"/>
                <w:lang w:val="en-US"/>
              </w:rPr>
              <w:t xml:space="preserve"> that will be applied.</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46EC3E56" w:rsidR="0054631C" w:rsidRPr="00EB6705" w:rsidRDefault="00336EA9" w:rsidP="0054631C">
            <w:pPr>
              <w:rPr>
                <w:rFonts w:ascii="Open Sans" w:hAnsi="Open Sans" w:cs="Open Sans"/>
                <w:b/>
                <w:bCs/>
                <w:sz w:val="20"/>
                <w:szCs w:val="20"/>
                <w:lang w:val="en-US"/>
              </w:rPr>
            </w:pPr>
            <w:r>
              <w:rPr>
                <w:rFonts w:ascii="Open Sans" w:hAnsi="Open Sans" w:cs="Open Sans"/>
                <w:b/>
                <w:bCs/>
                <w:sz w:val="20"/>
                <w:szCs w:val="20"/>
                <w:lang w:val="en-US"/>
              </w:rPr>
              <w:t xml:space="preserve">Yes, as this shall provide useful information as it will </w:t>
            </w:r>
            <w:r>
              <w:rPr>
                <w:rFonts w:ascii="Open Sans" w:hAnsi="Open Sans" w:cs="Open Sans"/>
                <w:b/>
                <w:bCs/>
                <w:sz w:val="20"/>
                <w:szCs w:val="20"/>
                <w:lang w:val="en-US"/>
              </w:rPr>
              <w:t xml:space="preserve">distinguish between those </w:t>
            </w:r>
            <w:r w:rsidRPr="0039600D">
              <w:rPr>
                <w:rFonts w:ascii="Open Sans" w:hAnsi="Open Sans" w:cs="Open Sans"/>
                <w:b/>
                <w:bCs/>
                <w:sz w:val="20"/>
                <w:szCs w:val="20"/>
                <w:lang w:val="en-US"/>
              </w:rPr>
              <w:t>assets</w:t>
            </w:r>
            <w:r>
              <w:rPr>
                <w:rFonts w:ascii="Open Sans" w:hAnsi="Open Sans" w:cs="Open Sans"/>
                <w:b/>
                <w:bCs/>
                <w:sz w:val="20"/>
                <w:szCs w:val="20"/>
                <w:lang w:val="en-US"/>
              </w:rPr>
              <w:t xml:space="preserve"> and liabilities</w:t>
            </w:r>
            <w:r w:rsidRPr="0039600D">
              <w:rPr>
                <w:rFonts w:ascii="Open Sans" w:hAnsi="Open Sans" w:cs="Open Sans"/>
                <w:b/>
                <w:bCs/>
                <w:sz w:val="20"/>
                <w:szCs w:val="20"/>
                <w:lang w:val="en-US"/>
              </w:rPr>
              <w:t xml:space="preserve"> that are continuously circulating as working capital from those used in the entity’s long-term operations</w:t>
            </w:r>
            <w:r>
              <w:rPr>
                <w:rFonts w:ascii="Open Sans" w:hAnsi="Open Sans" w:cs="Open Sans"/>
                <w:b/>
                <w:bCs/>
                <w:sz w:val="20"/>
                <w:szCs w:val="20"/>
                <w:lang w:val="en-US"/>
              </w:rPr>
              <w:t xml:space="preserve"> unless the entity </w:t>
            </w:r>
            <w:r w:rsidRPr="0039600D">
              <w:rPr>
                <w:rFonts w:ascii="Open Sans" w:hAnsi="Open Sans" w:cs="Open Sans"/>
                <w:b/>
                <w:bCs/>
                <w:sz w:val="20"/>
                <w:szCs w:val="20"/>
                <w:lang w:val="en-US"/>
              </w:rPr>
              <w:t>does not supply services or goods within a clearly identifiable operating cycle.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proposal that not all categories of asset and liability balances should be split between those with and </w:t>
            </w:r>
            <w:r w:rsidRPr="00EB6705">
              <w:rPr>
                <w:rFonts w:ascii="Open Sans" w:hAnsi="Open Sans" w:cs="Open Sans"/>
                <w:sz w:val="20"/>
                <w:szCs w:val="20"/>
                <w:lang w:val="en-US"/>
              </w:rPr>
              <w:lastRenderedPageBreak/>
              <w:t>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lastRenderedPageBreak/>
              <w:t>G4.13-G4.14, AG4.5-AG4.7</w:t>
            </w:r>
          </w:p>
        </w:tc>
        <w:tc>
          <w:tcPr>
            <w:tcW w:w="8282" w:type="dxa"/>
          </w:tcPr>
          <w:p w14:paraId="1D21094D" w14:textId="15EE9CEE" w:rsidR="009654A5" w:rsidRPr="00EB6705" w:rsidRDefault="00336EA9" w:rsidP="0054631C">
            <w:pPr>
              <w:rPr>
                <w:rFonts w:ascii="Open Sans" w:hAnsi="Open Sans" w:cs="Open Sans"/>
                <w:b/>
                <w:bCs/>
                <w:sz w:val="20"/>
                <w:szCs w:val="20"/>
                <w:lang w:val="en-US"/>
              </w:rPr>
            </w:pPr>
            <w:r>
              <w:rPr>
                <w:rFonts w:ascii="Open Sans" w:hAnsi="Open Sans" w:cs="Open Sans"/>
                <w:b/>
                <w:bCs/>
                <w:sz w:val="20"/>
                <w:szCs w:val="20"/>
                <w:lang w:val="en-US"/>
              </w:rPr>
              <w:t>Yes and this should not be required but permitted if doing so will provide useful information to users.</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124095CB" w:rsidR="00D170DB" w:rsidRPr="00EB6705" w:rsidRDefault="005D7341" w:rsidP="005D7341">
            <w:pPr>
              <w:rPr>
                <w:rFonts w:ascii="Open Sans" w:hAnsi="Open Sans" w:cs="Open Sans"/>
                <w:b/>
                <w:bCs/>
                <w:sz w:val="20"/>
                <w:szCs w:val="20"/>
                <w:lang w:val="en-US"/>
              </w:rPr>
            </w:pPr>
            <w:r>
              <w:rPr>
                <w:rFonts w:ascii="Open Sans" w:hAnsi="Open Sans" w:cs="Open Sans"/>
                <w:b/>
                <w:bCs/>
                <w:sz w:val="20"/>
                <w:szCs w:val="20"/>
                <w:lang w:val="en-US"/>
              </w:rPr>
              <w:t xml:space="preserve">We </w:t>
            </w:r>
            <w:r w:rsidR="009654A5">
              <w:rPr>
                <w:rFonts w:ascii="Open Sans" w:hAnsi="Open Sans" w:cs="Open Sans"/>
                <w:b/>
                <w:bCs/>
                <w:sz w:val="20"/>
                <w:szCs w:val="20"/>
                <w:lang w:val="en-US"/>
              </w:rPr>
              <w:t xml:space="preserve">don’t agree with statement on income and expense. Expenses is term associated to </w:t>
            </w:r>
            <w:r>
              <w:rPr>
                <w:rFonts w:ascii="Open Sans" w:hAnsi="Open Sans" w:cs="Open Sans"/>
                <w:b/>
                <w:bCs/>
                <w:sz w:val="20"/>
                <w:szCs w:val="20"/>
                <w:lang w:val="en-US"/>
              </w:rPr>
              <w:t>For-</w:t>
            </w:r>
            <w:r w:rsidR="009654A5">
              <w:rPr>
                <w:rFonts w:ascii="Open Sans" w:hAnsi="Open Sans" w:cs="Open Sans"/>
                <w:b/>
                <w:bCs/>
                <w:sz w:val="20"/>
                <w:szCs w:val="20"/>
                <w:lang w:val="en-US"/>
              </w:rPr>
              <w:t>Profit entities</w:t>
            </w:r>
            <w:r>
              <w:rPr>
                <w:rFonts w:ascii="Open Sans" w:hAnsi="Open Sans" w:cs="Open Sans"/>
                <w:b/>
                <w:bCs/>
                <w:sz w:val="20"/>
                <w:szCs w:val="20"/>
                <w:lang w:val="en-US"/>
              </w:rPr>
              <w:t xml:space="preserve"> which is incurred to generate revenue. Statement of Income and Expenditure is a broader term which covers the unique nature of NPO activities e.g. sub-award, capital expenditure incurred on beneficiaries, project commitments/advances </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198F5510" w:rsidR="00D170DB" w:rsidRPr="00EB6705" w:rsidRDefault="004D6C45" w:rsidP="005D7341">
            <w:pPr>
              <w:rPr>
                <w:rFonts w:ascii="Open Sans" w:hAnsi="Open Sans" w:cs="Open Sans"/>
                <w:b/>
                <w:bCs/>
                <w:sz w:val="20"/>
                <w:szCs w:val="20"/>
                <w:lang w:val="en-US"/>
              </w:rPr>
            </w:pPr>
            <w:r>
              <w:rPr>
                <w:rFonts w:ascii="Open Sans" w:hAnsi="Open Sans" w:cs="Open Sans"/>
                <w:b/>
                <w:bCs/>
                <w:sz w:val="20"/>
                <w:szCs w:val="20"/>
                <w:lang w:val="en-US"/>
              </w:rPr>
              <w:t>Yes, simply the arithmetic difference between income and</w:t>
            </w:r>
            <w:r>
              <w:rPr>
                <w:rFonts w:ascii="Open Sans" w:hAnsi="Open Sans" w:cs="Open Sans"/>
                <w:b/>
                <w:bCs/>
                <w:sz w:val="20"/>
                <w:szCs w:val="20"/>
                <w:lang w:val="en-US"/>
              </w:rPr>
              <w:t xml:space="preserve"> expenditure </w:t>
            </w:r>
            <w:r>
              <w:rPr>
                <w:rFonts w:ascii="Open Sans" w:hAnsi="Open Sans" w:cs="Open Sans"/>
                <w:b/>
                <w:bCs/>
                <w:sz w:val="20"/>
                <w:szCs w:val="20"/>
                <w:lang w:val="en-US"/>
              </w:rPr>
              <w:t>to remove the implication of profit or loss.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4F993B8B" w:rsidR="00D170DB" w:rsidRPr="00EB6705" w:rsidRDefault="005D7341" w:rsidP="00D170DB">
            <w:pPr>
              <w:rPr>
                <w:rFonts w:ascii="Open Sans" w:hAnsi="Open Sans" w:cs="Open Sans"/>
                <w:b/>
                <w:bCs/>
                <w:sz w:val="20"/>
                <w:szCs w:val="20"/>
                <w:lang w:val="en-US"/>
              </w:rPr>
            </w:pPr>
            <w:r>
              <w:rPr>
                <w:rFonts w:ascii="Open Sans" w:hAnsi="Open Sans" w:cs="Open Sans"/>
                <w:b/>
                <w:bCs/>
                <w:sz w:val="20"/>
                <w:szCs w:val="20"/>
                <w:lang w:val="en-US"/>
              </w:rPr>
              <w:t>Yes we agree as it gives crucial information to the user of the Financial Statement</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w:t>
            </w:r>
            <w:r w:rsidRPr="00EB6705">
              <w:rPr>
                <w:rFonts w:ascii="Open Sans" w:hAnsi="Open Sans" w:cs="Open Sans"/>
                <w:sz w:val="20"/>
                <w:szCs w:val="20"/>
                <w:lang w:val="en-US"/>
              </w:rPr>
              <w:lastRenderedPageBreak/>
              <w:t xml:space="preserve">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lastRenderedPageBreak/>
              <w:t>Implementation guidance</w:t>
            </w:r>
          </w:p>
        </w:tc>
        <w:tc>
          <w:tcPr>
            <w:tcW w:w="8233" w:type="dxa"/>
          </w:tcPr>
          <w:p w14:paraId="5C513C40" w14:textId="4DDC2232" w:rsidR="00D170DB" w:rsidRPr="00EB6705" w:rsidRDefault="004D6C45" w:rsidP="00044011">
            <w:pPr>
              <w:rPr>
                <w:rFonts w:ascii="Open Sans" w:hAnsi="Open Sans" w:cs="Open Sans"/>
                <w:b/>
                <w:bCs/>
                <w:sz w:val="20"/>
                <w:szCs w:val="20"/>
                <w:lang w:val="en-US"/>
              </w:rPr>
            </w:pPr>
            <w:r>
              <w:rPr>
                <w:rFonts w:ascii="Open Sans" w:hAnsi="Open Sans" w:cs="Open Sans"/>
                <w:b/>
                <w:bCs/>
                <w:sz w:val="20"/>
                <w:szCs w:val="20"/>
                <w:lang w:val="en-US"/>
              </w:rPr>
              <w:t>No we</w:t>
            </w:r>
            <w:r w:rsidR="005D7341">
              <w:rPr>
                <w:rFonts w:ascii="Open Sans" w:hAnsi="Open Sans" w:cs="Open Sans"/>
                <w:b/>
                <w:bCs/>
                <w:sz w:val="20"/>
                <w:szCs w:val="20"/>
                <w:lang w:val="en-US"/>
              </w:rPr>
              <w:t xml:space="preserve"> don’t agree. The presentation</w:t>
            </w:r>
            <w:r w:rsidR="00044011">
              <w:rPr>
                <w:rFonts w:ascii="Open Sans" w:hAnsi="Open Sans" w:cs="Open Sans"/>
                <w:b/>
                <w:bCs/>
                <w:sz w:val="20"/>
                <w:szCs w:val="20"/>
                <w:lang w:val="en-US"/>
              </w:rPr>
              <w:t xml:space="preserve"> on format 2 would lead to confusion to the user of the accounts a</w:t>
            </w:r>
            <w:r>
              <w:rPr>
                <w:rFonts w:ascii="Open Sans" w:hAnsi="Open Sans" w:cs="Open Sans"/>
                <w:b/>
                <w:bCs/>
                <w:sz w:val="20"/>
                <w:szCs w:val="20"/>
                <w:lang w:val="en-US"/>
              </w:rPr>
              <w:t xml:space="preserve">nd also reduce comparability. We </w:t>
            </w:r>
            <w:r w:rsidR="00044011">
              <w:rPr>
                <w:rFonts w:ascii="Open Sans" w:hAnsi="Open Sans" w:cs="Open Sans"/>
                <w:b/>
                <w:bCs/>
                <w:sz w:val="20"/>
                <w:szCs w:val="20"/>
                <w:lang w:val="en-US"/>
              </w:rPr>
              <w:t>propose that Format 1 be adopted</w:t>
            </w:r>
            <w:r>
              <w:rPr>
                <w:rFonts w:ascii="Open Sans" w:hAnsi="Open Sans" w:cs="Open Sans"/>
                <w:b/>
                <w:bCs/>
                <w:sz w:val="20"/>
                <w:szCs w:val="20"/>
                <w:lang w:val="en-US"/>
              </w:rPr>
              <w:t>.</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lastRenderedPageBreak/>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4F48B3DD" w:rsidR="005A718A" w:rsidRPr="00EB6705" w:rsidRDefault="004E0652" w:rsidP="00147EB3">
            <w:pPr>
              <w:rPr>
                <w:rFonts w:ascii="Open Sans" w:hAnsi="Open Sans" w:cs="Open Sans"/>
                <w:b/>
                <w:bCs/>
                <w:sz w:val="20"/>
                <w:szCs w:val="20"/>
                <w:lang w:val="en-US"/>
              </w:rPr>
            </w:pPr>
            <w:r>
              <w:rPr>
                <w:rFonts w:ascii="Open Sans" w:hAnsi="Open Sans" w:cs="Open Sans"/>
                <w:b/>
                <w:bCs/>
                <w:sz w:val="20"/>
                <w:szCs w:val="20"/>
                <w:lang w:val="en-US"/>
              </w:rPr>
              <w:t>Yes, since having items of OCI in the statement of income and expense would distort the focus of this statement of being the surplus or deficit of income over expenses (OCI is less important here). Besides, this information clearly identifiable under Net Assets for users who will find it useful.</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AD0F7FE" w:rsidR="005A718A" w:rsidRPr="00EB6705" w:rsidRDefault="004E0652" w:rsidP="005A718A">
            <w:pPr>
              <w:rPr>
                <w:rFonts w:ascii="Open Sans" w:hAnsi="Open Sans" w:cs="Open Sans"/>
                <w:b/>
                <w:bCs/>
                <w:sz w:val="20"/>
                <w:szCs w:val="20"/>
                <w:lang w:val="en-US"/>
              </w:rPr>
            </w:pPr>
            <w:r>
              <w:rPr>
                <w:rFonts w:ascii="Open Sans" w:hAnsi="Open Sans" w:cs="Open Sans"/>
                <w:b/>
                <w:bCs/>
                <w:sz w:val="20"/>
                <w:szCs w:val="20"/>
                <w:lang w:val="en-US"/>
              </w:rPr>
              <w:t>Yes, this will allow users to see the level of funds and how they can be released for the portioning and other activities of the NPO.</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4E0652" w:rsidRPr="00EB6705" w14:paraId="0E559181" w14:textId="77777777" w:rsidTr="00A276B0">
        <w:tc>
          <w:tcPr>
            <w:tcW w:w="4388" w:type="dxa"/>
          </w:tcPr>
          <w:p w14:paraId="6B68FA35" w14:textId="6C76E618" w:rsidR="004E0652" w:rsidRPr="000C07D4"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4E0652" w:rsidRPr="00EB6705" w:rsidRDefault="004E0652" w:rsidP="004E0652">
            <w:pPr>
              <w:rPr>
                <w:rFonts w:ascii="Open Sans" w:hAnsi="Open Sans" w:cs="Open Sans"/>
                <w:sz w:val="20"/>
                <w:szCs w:val="20"/>
                <w:lang w:val="en-US"/>
              </w:rPr>
            </w:pPr>
            <w:r w:rsidRPr="00EB6705">
              <w:rPr>
                <w:rFonts w:ascii="Open Sans" w:hAnsi="Open Sans" w:cs="Open Sans"/>
                <w:sz w:val="20"/>
                <w:szCs w:val="20"/>
                <w:lang w:val="en-US"/>
              </w:rPr>
              <w:t>G7.4 a)</w:t>
            </w:r>
          </w:p>
          <w:p w14:paraId="3553A76F" w14:textId="77777777" w:rsidR="004E0652" w:rsidRPr="00EB6705" w:rsidRDefault="004E0652" w:rsidP="004E0652">
            <w:pPr>
              <w:rPr>
                <w:rFonts w:ascii="Open Sans" w:hAnsi="Open Sans" w:cs="Open Sans"/>
                <w:b/>
                <w:bCs/>
                <w:sz w:val="20"/>
                <w:szCs w:val="20"/>
                <w:lang w:val="en-US"/>
              </w:rPr>
            </w:pPr>
          </w:p>
        </w:tc>
        <w:tc>
          <w:tcPr>
            <w:tcW w:w="8282" w:type="dxa"/>
          </w:tcPr>
          <w:p w14:paraId="654B219E" w14:textId="5304FD65"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 xml:space="preserve">Yes, as this information would be most useful to user as most are </w:t>
            </w:r>
            <w:r w:rsidRPr="00224B95">
              <w:rPr>
                <w:rFonts w:ascii="Open Sans" w:hAnsi="Open Sans" w:cs="Open Sans"/>
                <w:b/>
                <w:bCs/>
                <w:sz w:val="20"/>
                <w:szCs w:val="20"/>
                <w:lang w:val="en-US"/>
              </w:rPr>
              <w:t>centred on cash-based information</w:t>
            </w:r>
          </w:p>
        </w:tc>
      </w:tr>
      <w:tr w:rsidR="004E0652" w:rsidRPr="00EB6705" w14:paraId="341968CD" w14:textId="77777777" w:rsidTr="00A276B0">
        <w:tc>
          <w:tcPr>
            <w:tcW w:w="4388" w:type="dxa"/>
          </w:tcPr>
          <w:p w14:paraId="2FAEB7D0" w14:textId="58EEA4C9" w:rsidR="004E0652" w:rsidRPr="000C07D4"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donations or grants received for the purchase or creation of property, plant and equipment should be </w:t>
            </w:r>
            <w:r w:rsidRPr="00EB6705">
              <w:rPr>
                <w:rFonts w:ascii="Open Sans" w:hAnsi="Open Sans" w:cs="Open Sans"/>
                <w:sz w:val="20"/>
                <w:szCs w:val="20"/>
                <w:lang w:val="en-US"/>
              </w:rPr>
              <w:lastRenderedPageBreak/>
              <w:t>treated as investing activities? If not, what alternative would you propose and why?</w:t>
            </w:r>
          </w:p>
        </w:tc>
        <w:tc>
          <w:tcPr>
            <w:tcW w:w="1642" w:type="dxa"/>
          </w:tcPr>
          <w:p w14:paraId="04AD39DE" w14:textId="77777777" w:rsidR="004E0652" w:rsidRPr="00EB6705" w:rsidRDefault="004E0652" w:rsidP="004E0652">
            <w:pPr>
              <w:rPr>
                <w:rFonts w:ascii="Open Sans" w:hAnsi="Open Sans" w:cs="Open Sans"/>
                <w:sz w:val="20"/>
                <w:szCs w:val="20"/>
                <w:lang w:val="en-US"/>
              </w:rPr>
            </w:pPr>
            <w:r w:rsidRPr="00EB6705">
              <w:rPr>
                <w:rFonts w:ascii="Open Sans" w:hAnsi="Open Sans" w:cs="Open Sans"/>
                <w:sz w:val="20"/>
                <w:szCs w:val="20"/>
                <w:lang w:val="en-US"/>
              </w:rPr>
              <w:lastRenderedPageBreak/>
              <w:t>G7.5 b)</w:t>
            </w:r>
          </w:p>
          <w:p w14:paraId="5CCE6FEA" w14:textId="77777777" w:rsidR="004E0652" w:rsidRPr="00EB6705" w:rsidRDefault="004E0652" w:rsidP="004E0652">
            <w:pPr>
              <w:rPr>
                <w:rFonts w:ascii="Open Sans" w:hAnsi="Open Sans" w:cs="Open Sans"/>
                <w:b/>
                <w:bCs/>
                <w:sz w:val="20"/>
                <w:szCs w:val="20"/>
                <w:lang w:val="en-US"/>
              </w:rPr>
            </w:pPr>
          </w:p>
        </w:tc>
        <w:tc>
          <w:tcPr>
            <w:tcW w:w="8282" w:type="dxa"/>
          </w:tcPr>
          <w:p w14:paraId="76A85D8A" w14:textId="418E9C51"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Yes, to show fund providers how the grant was used specifically.</w:t>
            </w:r>
          </w:p>
        </w:tc>
      </w:tr>
      <w:tr w:rsidR="004E0652" w:rsidRPr="00EB6705" w14:paraId="1AF97E2F" w14:textId="4F7015C8" w:rsidTr="00A276B0">
        <w:tc>
          <w:tcPr>
            <w:tcW w:w="4388" w:type="dxa"/>
          </w:tcPr>
          <w:p w14:paraId="132203D3" w14:textId="5C6D782E" w:rsidR="004E0652" w:rsidRPr="00EB6705"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both the direct method and indirect methods for the cash flow statement should be permitted? If not, why not?</w:t>
            </w:r>
          </w:p>
        </w:tc>
        <w:tc>
          <w:tcPr>
            <w:tcW w:w="1642" w:type="dxa"/>
          </w:tcPr>
          <w:p w14:paraId="2DE45C28" w14:textId="523D9234" w:rsidR="004E0652" w:rsidRPr="00EB6705" w:rsidRDefault="004E0652" w:rsidP="004E0652">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13809EA6"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 xml:space="preserve">Yes, as in either case </w:t>
            </w:r>
            <w:r w:rsidRPr="006C051E">
              <w:rPr>
                <w:rFonts w:ascii="Open Sans" w:hAnsi="Open Sans" w:cs="Open Sans"/>
                <w:b/>
                <w:bCs/>
                <w:sz w:val="20"/>
                <w:szCs w:val="20"/>
                <w:lang w:val="en-US"/>
              </w:rPr>
              <w:t>additional information relating to donations and grants is required.</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7F72E78E" w:rsidR="00C8003A" w:rsidRPr="00EB6705" w:rsidRDefault="00BB082C" w:rsidP="00C8003A">
            <w:pPr>
              <w:jc w:val="both"/>
              <w:rPr>
                <w:rFonts w:ascii="Open Sans" w:hAnsi="Open Sans" w:cs="Open Sans"/>
                <w:b/>
                <w:bCs/>
                <w:sz w:val="20"/>
                <w:szCs w:val="20"/>
                <w:lang w:val="en-US"/>
              </w:rPr>
            </w:pPr>
            <w:r>
              <w:rPr>
                <w:rFonts w:ascii="Open Sans" w:hAnsi="Open Sans" w:cs="Open Sans"/>
                <w:b/>
                <w:bCs/>
                <w:sz w:val="20"/>
                <w:szCs w:val="20"/>
                <w:lang w:val="en-US"/>
              </w:rPr>
              <w:t>We agree that there are no additional NPO specific considerations</w:t>
            </w:r>
            <w:r w:rsidR="001A3E73">
              <w:rPr>
                <w:rFonts w:ascii="Open Sans" w:hAnsi="Open Sans" w:cs="Open Sans"/>
                <w:b/>
                <w:bCs/>
                <w:sz w:val="20"/>
                <w:szCs w:val="20"/>
                <w:lang w:val="en-US"/>
              </w:rPr>
              <w:t>. S</w:t>
            </w:r>
            <w:r w:rsidR="001A3E73">
              <w:rPr>
                <w:rFonts w:ascii="Open Sans" w:hAnsi="Open Sans" w:cs="Open Sans"/>
                <w:b/>
                <w:bCs/>
                <w:sz w:val="20"/>
                <w:szCs w:val="20"/>
                <w:lang w:val="en-US"/>
              </w:rPr>
              <w:t>hould there be any</w:t>
            </w:r>
            <w:r w:rsidR="001A3E73">
              <w:rPr>
                <w:rFonts w:ascii="Open Sans" w:hAnsi="Open Sans" w:cs="Open Sans"/>
                <w:b/>
                <w:bCs/>
                <w:sz w:val="20"/>
                <w:szCs w:val="20"/>
                <w:lang w:val="en-US"/>
              </w:rPr>
              <w:t xml:space="preserve">, these would be best addressed </w:t>
            </w:r>
            <w:r w:rsidR="001A3E73">
              <w:rPr>
                <w:rFonts w:ascii="Open Sans" w:hAnsi="Open Sans" w:cs="Open Sans"/>
                <w:b/>
                <w:bCs/>
                <w:sz w:val="20"/>
                <w:szCs w:val="20"/>
                <w:lang w:val="en-US"/>
              </w:rPr>
              <w:t>in the specific requirements and disclosures in the various sections in respect to assets, liabilities, revenue, or expenses.</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2EC856F4" w:rsidR="008A350D" w:rsidRPr="00EB6705" w:rsidRDefault="00BB082C" w:rsidP="008A350D">
            <w:pPr>
              <w:jc w:val="both"/>
              <w:rPr>
                <w:rFonts w:ascii="Open Sans" w:hAnsi="Open Sans" w:cs="Open Sans"/>
                <w:b/>
                <w:bCs/>
                <w:sz w:val="20"/>
                <w:szCs w:val="20"/>
                <w:lang w:val="nl-NL"/>
              </w:rPr>
            </w:pPr>
            <w:r>
              <w:rPr>
                <w:rFonts w:ascii="Open Sans" w:hAnsi="Open Sans" w:cs="Open Sans"/>
                <w:b/>
                <w:bCs/>
                <w:sz w:val="20"/>
                <w:szCs w:val="20"/>
                <w:lang w:val="nl-NL"/>
              </w:rPr>
              <w:t>Yes it is sufficient</w:t>
            </w:r>
            <w:r w:rsidR="001A3E73">
              <w:rPr>
                <w:rFonts w:ascii="Open Sans" w:hAnsi="Open Sans" w:cs="Open Sans"/>
                <w:b/>
                <w:bCs/>
                <w:sz w:val="20"/>
                <w:szCs w:val="20"/>
                <w:lang w:val="nl-NL"/>
              </w:rPr>
              <w:t>, c</w:t>
            </w:r>
            <w:r w:rsidR="001A3E73">
              <w:rPr>
                <w:rFonts w:ascii="Open Sans" w:hAnsi="Open Sans" w:cs="Open Sans"/>
                <w:b/>
                <w:bCs/>
                <w:sz w:val="20"/>
                <w:szCs w:val="20"/>
                <w:lang w:val="nl-NL"/>
              </w:rPr>
              <w:t xml:space="preserve">ontrol in an an NPO is best desribed in a prInciple based approach and the principles are well explained including </w:t>
            </w:r>
            <w:r w:rsidR="001A3E73" w:rsidRPr="00AD265B">
              <w:rPr>
                <w:rFonts w:ascii="Open Sans" w:hAnsi="Open Sans" w:cs="Open Sans"/>
                <w:b/>
                <w:bCs/>
                <w:sz w:val="20"/>
                <w:szCs w:val="20"/>
                <w:lang w:val="nl-NL"/>
              </w:rPr>
              <w:t>a rebu</w:t>
            </w:r>
            <w:bookmarkStart w:id="0" w:name="_GoBack"/>
            <w:bookmarkEnd w:id="0"/>
            <w:r w:rsidR="001A3E73" w:rsidRPr="00AD265B">
              <w:rPr>
                <w:rFonts w:ascii="Open Sans" w:hAnsi="Open Sans" w:cs="Open Sans"/>
                <w:b/>
                <w:bCs/>
                <w:sz w:val="20"/>
                <w:szCs w:val="20"/>
                <w:lang w:val="nl-NL"/>
              </w:rPr>
              <w:t>ttable presumption relating to control</w:t>
            </w:r>
            <w:r w:rsidR="001A3E73">
              <w:rPr>
                <w:rFonts w:ascii="Open Sans" w:hAnsi="Open Sans" w:cs="Open Sans"/>
                <w:b/>
                <w:bCs/>
                <w:sz w:val="20"/>
                <w:szCs w:val="20"/>
                <w:lang w:val="nl-NL"/>
              </w:rPr>
              <w: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5962E1C3" w:rsidR="008A350D" w:rsidRPr="00EB6705" w:rsidRDefault="00BB082C" w:rsidP="008A350D">
            <w:pPr>
              <w:jc w:val="both"/>
              <w:rPr>
                <w:rFonts w:ascii="Open Sans" w:hAnsi="Open Sans" w:cs="Open Sans"/>
                <w:b/>
                <w:bCs/>
                <w:sz w:val="20"/>
                <w:szCs w:val="20"/>
                <w:lang w:val="nl-NL"/>
              </w:rPr>
            </w:pPr>
            <w:r>
              <w:rPr>
                <w:rFonts w:ascii="Open Sans" w:hAnsi="Open Sans" w:cs="Open Sans"/>
                <w:b/>
                <w:bCs/>
                <w:sz w:val="20"/>
                <w:szCs w:val="20"/>
                <w:lang w:val="nl-NL"/>
              </w:rPr>
              <w:t>Yes we agree with the retention of t</w:t>
            </w:r>
            <w:r w:rsidR="001A3E73">
              <w:rPr>
                <w:rFonts w:ascii="Open Sans" w:hAnsi="Open Sans" w:cs="Open Sans"/>
                <w:b/>
                <w:bCs/>
                <w:sz w:val="20"/>
                <w:szCs w:val="20"/>
                <w:lang w:val="nl-NL"/>
              </w:rPr>
              <w:t>he rebutta</w:t>
            </w:r>
            <w:r>
              <w:rPr>
                <w:rFonts w:ascii="Open Sans" w:hAnsi="Open Sans" w:cs="Open Sans"/>
                <w:b/>
                <w:bCs/>
                <w:sz w:val="20"/>
                <w:szCs w:val="20"/>
                <w:lang w:val="nl-NL"/>
              </w:rPr>
              <w:t xml:space="preserve">ble presumption </w:t>
            </w:r>
            <w:r w:rsidR="001A3E73">
              <w:rPr>
                <w:rFonts w:ascii="Open Sans" w:hAnsi="Open Sans" w:cs="Open Sans"/>
                <w:b/>
                <w:bCs/>
                <w:sz w:val="20"/>
                <w:szCs w:val="20"/>
                <w:lang w:val="nl-NL"/>
              </w:rPr>
              <w:t>as this does not only include voting rigts but other situations including decision making rights that is well expounded in AG.</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14307243" w:rsidR="008A350D" w:rsidRPr="00EB6705" w:rsidRDefault="000F46FC" w:rsidP="008A350D">
            <w:pPr>
              <w:jc w:val="both"/>
              <w:rPr>
                <w:rFonts w:ascii="Open Sans" w:hAnsi="Open Sans" w:cs="Open Sans"/>
                <w:b/>
                <w:bCs/>
                <w:sz w:val="20"/>
                <w:szCs w:val="20"/>
                <w:lang w:val="nl-NL"/>
              </w:rPr>
            </w:pPr>
            <w:r>
              <w:rPr>
                <w:rFonts w:ascii="Open Sans" w:hAnsi="Open Sans" w:cs="Open Sans"/>
                <w:b/>
                <w:bCs/>
                <w:sz w:val="20"/>
                <w:szCs w:val="20"/>
                <w:lang w:val="nl-NL"/>
              </w:rPr>
              <w:t>We do not agree as G9.22 could</w:t>
            </w:r>
            <w:r w:rsidR="00FB5CD0">
              <w:rPr>
                <w:rFonts w:ascii="Open Sans" w:hAnsi="Open Sans" w:cs="Open Sans"/>
                <w:b/>
                <w:bCs/>
                <w:sz w:val="20"/>
                <w:szCs w:val="20"/>
                <w:lang w:val="nl-NL"/>
              </w:rPr>
              <w:t xml:space="preserve"> be subject to abuse and this sh</w:t>
            </w:r>
            <w:r>
              <w:rPr>
                <w:rFonts w:ascii="Open Sans" w:hAnsi="Open Sans" w:cs="Open Sans"/>
                <w:b/>
                <w:bCs/>
                <w:sz w:val="20"/>
                <w:szCs w:val="20"/>
                <w:lang w:val="nl-NL"/>
              </w:rPr>
              <w:t>ould only be used in extremely rare circumstances.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3A0D0BFA" w:rsidR="008A350D" w:rsidRPr="00EB6705" w:rsidRDefault="00ED3CA8" w:rsidP="008A350D">
            <w:pPr>
              <w:jc w:val="both"/>
              <w:rPr>
                <w:rFonts w:ascii="Open Sans" w:hAnsi="Open Sans" w:cs="Open Sans"/>
                <w:b/>
                <w:bCs/>
                <w:sz w:val="20"/>
                <w:szCs w:val="20"/>
                <w:lang w:val="nl-NL"/>
              </w:rPr>
            </w:pPr>
            <w:r>
              <w:rPr>
                <w:rFonts w:ascii="Open Sans" w:hAnsi="Open Sans" w:cs="Open Sans"/>
                <w:b/>
                <w:bCs/>
                <w:sz w:val="20"/>
                <w:szCs w:val="20"/>
                <w:lang w:val="nl-NL"/>
              </w:rPr>
              <w:t>We agree with the proposed terms</w:t>
            </w:r>
            <w:r w:rsidR="00FB5CD0">
              <w:rPr>
                <w:rFonts w:ascii="Open Sans" w:hAnsi="Open Sans" w:cs="Open Sans"/>
                <w:b/>
                <w:bCs/>
                <w:sz w:val="20"/>
                <w:szCs w:val="20"/>
                <w:lang w:val="nl-NL"/>
              </w:rPr>
              <w:t xml:space="preserve"> as they are</w:t>
            </w:r>
            <w:r w:rsidR="00FB5CD0">
              <w:rPr>
                <w:rFonts w:ascii="Open Sans" w:hAnsi="Open Sans" w:cs="Open Sans"/>
                <w:b/>
                <w:bCs/>
                <w:sz w:val="20"/>
                <w:szCs w:val="20"/>
                <w:lang w:val="nl-NL"/>
              </w:rPr>
              <w:t xml:space="preserve"> in line with the context of an NPO.</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558327B1" w:rsidR="00D8539B" w:rsidRPr="00EB6705" w:rsidRDefault="00831F8D" w:rsidP="00D8539B">
            <w:pPr>
              <w:jc w:val="both"/>
              <w:rPr>
                <w:rFonts w:ascii="Open Sans" w:hAnsi="Open Sans" w:cs="Open Sans"/>
                <w:b/>
                <w:bCs/>
                <w:sz w:val="20"/>
                <w:szCs w:val="20"/>
                <w:lang w:val="en-US"/>
              </w:rPr>
            </w:pPr>
            <w:r>
              <w:rPr>
                <w:rFonts w:ascii="Open Sans" w:hAnsi="Open Sans" w:cs="Open Sans"/>
                <w:b/>
                <w:bCs/>
                <w:sz w:val="20"/>
                <w:szCs w:val="20"/>
                <w:lang w:val="en-US"/>
              </w:rPr>
              <w:t xml:space="preserve">We agree that there is </w:t>
            </w:r>
            <w:r w:rsidR="00ED3CA8">
              <w:rPr>
                <w:rFonts w:ascii="Open Sans" w:hAnsi="Open Sans" w:cs="Open Sans"/>
                <w:b/>
                <w:bCs/>
                <w:sz w:val="20"/>
                <w:szCs w:val="20"/>
                <w:lang w:val="en-US"/>
              </w:rPr>
              <w:t>no need for additional specific NPO considerations.</w:t>
            </w:r>
            <w:r w:rsidR="00FB5CD0">
              <w:rPr>
                <w:rFonts w:ascii="Open Sans" w:hAnsi="Open Sans" w:cs="Open Sans"/>
                <w:b/>
                <w:bCs/>
                <w:sz w:val="20"/>
                <w:szCs w:val="20"/>
                <w:lang w:val="en-US"/>
              </w:rPr>
              <w:t xml:space="preserve"> Approach is</w:t>
            </w:r>
            <w:r w:rsidR="00FB5CD0">
              <w:rPr>
                <w:rFonts w:ascii="Open Sans" w:hAnsi="Open Sans" w:cs="Open Sans"/>
                <w:b/>
                <w:bCs/>
                <w:sz w:val="20"/>
                <w:szCs w:val="20"/>
                <w:lang w:val="en-US"/>
              </w:rPr>
              <w:t xml:space="preserve"> consistent with IFRS for SME and permitting NPO not only to refer to international standards but national standards as reference for those transactions, other events, or conditions not addressed in full IFRS (e.g. those that are non-commercial in nature and specific to NPOs).</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693A36F8" w:rsidR="00907EE8" w:rsidRPr="00EB6705" w:rsidRDefault="00ED3CA8" w:rsidP="002C5B7D">
            <w:pPr>
              <w:rPr>
                <w:rFonts w:ascii="Open Sans" w:hAnsi="Open Sans" w:cs="Open Sans"/>
                <w:b/>
                <w:bCs/>
                <w:sz w:val="20"/>
                <w:szCs w:val="20"/>
                <w:lang w:val="en-US"/>
              </w:rPr>
            </w:pPr>
            <w:r>
              <w:rPr>
                <w:rFonts w:ascii="Open Sans" w:hAnsi="Open Sans" w:cs="Open Sans"/>
                <w:b/>
                <w:bCs/>
                <w:sz w:val="20"/>
                <w:szCs w:val="20"/>
                <w:lang w:val="en-US"/>
              </w:rPr>
              <w:t>We agree</w:t>
            </w:r>
            <w:r w:rsidR="0059760D">
              <w:rPr>
                <w:rFonts w:ascii="Open Sans" w:hAnsi="Open Sans" w:cs="Open Sans"/>
                <w:b/>
                <w:bCs/>
                <w:sz w:val="20"/>
                <w:szCs w:val="20"/>
                <w:lang w:val="en-US"/>
              </w:rPr>
              <w:t xml:space="preserve">, </w:t>
            </w:r>
            <w:r w:rsidR="0059760D">
              <w:rPr>
                <w:rFonts w:ascii="Open Sans" w:hAnsi="Open Sans" w:cs="Open Sans"/>
                <w:b/>
                <w:bCs/>
                <w:sz w:val="20"/>
                <w:szCs w:val="20"/>
                <w:lang w:val="en-US"/>
              </w:rPr>
              <w:t xml:space="preserve">this ensures that the </w:t>
            </w:r>
            <w:r w:rsidR="0059760D" w:rsidRPr="008A165C">
              <w:rPr>
                <w:rFonts w:ascii="Open Sans" w:hAnsi="Open Sans" w:cs="Open Sans"/>
                <w:b/>
                <w:bCs/>
                <w:sz w:val="20"/>
                <w:szCs w:val="20"/>
                <w:lang w:val="en-US"/>
              </w:rPr>
              <w:t>performance information and financial statement commentary presented is fair and balanced.</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797196C7" w:rsidR="00907EE8" w:rsidRPr="00EB6705" w:rsidRDefault="00ED3CA8" w:rsidP="002C5B7D">
            <w:pPr>
              <w:rPr>
                <w:rFonts w:ascii="Open Sans" w:hAnsi="Open Sans" w:cs="Open Sans"/>
                <w:b/>
                <w:bCs/>
                <w:sz w:val="20"/>
                <w:szCs w:val="20"/>
                <w:lang w:val="en-US"/>
              </w:rPr>
            </w:pPr>
            <w:r>
              <w:rPr>
                <w:rFonts w:ascii="Open Sans" w:hAnsi="Open Sans" w:cs="Open Sans"/>
                <w:b/>
                <w:bCs/>
                <w:sz w:val="20"/>
                <w:szCs w:val="20"/>
                <w:lang w:val="en-US"/>
              </w:rPr>
              <w:t>We agree</w:t>
            </w:r>
            <w:r w:rsidR="0059760D">
              <w:rPr>
                <w:rFonts w:ascii="Open Sans" w:hAnsi="Open Sans" w:cs="Open Sans"/>
                <w:b/>
                <w:bCs/>
                <w:sz w:val="20"/>
                <w:szCs w:val="20"/>
                <w:lang w:val="en-US"/>
              </w:rPr>
              <w:t xml:space="preserve">, </w:t>
            </w:r>
            <w:r w:rsidR="0059760D">
              <w:rPr>
                <w:rFonts w:ascii="Open Sans" w:hAnsi="Open Sans" w:cs="Open Sans"/>
                <w:b/>
                <w:bCs/>
                <w:sz w:val="20"/>
                <w:szCs w:val="20"/>
                <w:lang w:val="en-US"/>
              </w:rPr>
              <w:t xml:space="preserve">to ensure </w:t>
            </w:r>
            <w:r w:rsidR="0059760D" w:rsidRPr="00AA5DA1">
              <w:rPr>
                <w:rFonts w:ascii="Open Sans" w:hAnsi="Open Sans" w:cs="Open Sans"/>
                <w:b/>
                <w:bCs/>
                <w:sz w:val="20"/>
                <w:szCs w:val="20"/>
                <w:lang w:val="en-US"/>
              </w:rPr>
              <w:t>base level of consistency and comparability</w:t>
            </w:r>
            <w:r w:rsidR="0059760D">
              <w:rPr>
                <w:rFonts w:ascii="Open Sans" w:hAnsi="Open Sans" w:cs="Open Sans"/>
                <w:b/>
                <w:bCs/>
                <w:sz w:val="20"/>
                <w:szCs w:val="20"/>
                <w:lang w:val="en-US"/>
              </w:rPr>
              <w:t xml:space="preserve"> and give NPOs an option </w:t>
            </w:r>
            <w:r w:rsidR="0059760D" w:rsidRPr="00DF6655">
              <w:rPr>
                <w:rFonts w:ascii="Open Sans" w:hAnsi="Open Sans" w:cs="Open Sans"/>
                <w:b/>
                <w:bCs/>
                <w:sz w:val="20"/>
                <w:szCs w:val="20"/>
                <w:lang w:val="en-US"/>
              </w:rPr>
              <w:t>to extend their narrative reports to cover additional areas provided that the mandatory topics and elements that are important to users are covered.</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0B91A1C1" w:rsidR="00907EE8" w:rsidRPr="00EB6705" w:rsidRDefault="00ED3CA8" w:rsidP="002C5B7D">
            <w:pPr>
              <w:rPr>
                <w:rFonts w:ascii="Open Sans" w:hAnsi="Open Sans" w:cs="Open Sans"/>
                <w:b/>
                <w:bCs/>
                <w:sz w:val="20"/>
                <w:szCs w:val="20"/>
                <w:lang w:val="en-US"/>
              </w:rPr>
            </w:pPr>
            <w:r>
              <w:rPr>
                <w:rFonts w:ascii="Open Sans" w:hAnsi="Open Sans" w:cs="Open Sans"/>
                <w:b/>
                <w:bCs/>
                <w:sz w:val="20"/>
                <w:szCs w:val="20"/>
                <w:lang w:val="en-US"/>
              </w:rPr>
              <w:t>We agree but justification should be made on why certain information has been excluded.</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1796E255" w:rsidR="002C5B7D" w:rsidRPr="00EB6705" w:rsidRDefault="00FF5C11" w:rsidP="002C5B7D">
            <w:pPr>
              <w:rPr>
                <w:rFonts w:ascii="Open Sans" w:hAnsi="Open Sans" w:cs="Open Sans"/>
                <w:b/>
                <w:bCs/>
                <w:sz w:val="20"/>
                <w:szCs w:val="20"/>
                <w:lang w:val="en-US"/>
              </w:rPr>
            </w:pPr>
            <w:r>
              <w:rPr>
                <w:rFonts w:ascii="Open Sans" w:hAnsi="Open Sans" w:cs="Open Sans"/>
                <w:b/>
                <w:bCs/>
                <w:sz w:val="20"/>
                <w:szCs w:val="20"/>
                <w:lang w:val="en-US"/>
              </w:rPr>
              <w:t xml:space="preserve">One year transition should be adequate as </w:t>
            </w:r>
            <w:r w:rsidR="00426636">
              <w:rPr>
                <w:rFonts w:ascii="Open Sans" w:hAnsi="Open Sans" w:cs="Open Sans"/>
                <w:b/>
                <w:bCs/>
                <w:sz w:val="20"/>
                <w:szCs w:val="20"/>
                <w:lang w:val="en-US"/>
              </w:rPr>
              <w:t>opposed to two</w:t>
            </w:r>
            <w:r>
              <w:rPr>
                <w:rFonts w:ascii="Open Sans" w:hAnsi="Open Sans" w:cs="Open Sans"/>
                <w:b/>
                <w:bCs/>
                <w:sz w:val="20"/>
                <w:szCs w:val="20"/>
                <w:lang w:val="en-US"/>
              </w:rPr>
              <w:t xml:space="preserve"> years</w:t>
            </w:r>
            <w:r w:rsidR="00426636">
              <w:rPr>
                <w:rFonts w:ascii="Open Sans" w:hAnsi="Open Sans" w:cs="Open Sans"/>
                <w:b/>
                <w:bCs/>
                <w:sz w:val="20"/>
                <w:szCs w:val="20"/>
                <w:lang w:val="en-US"/>
              </w:rPr>
              <w:t xml:space="preserve"> as this information is critical for NPO so it expected that the same will be readily available.</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24B98" w14:textId="77777777" w:rsidR="00BC4D68" w:rsidRDefault="00BC4D68" w:rsidP="009F74AC">
      <w:pPr>
        <w:spacing w:after="0" w:line="240" w:lineRule="auto"/>
      </w:pPr>
      <w:r>
        <w:separator/>
      </w:r>
    </w:p>
  </w:endnote>
  <w:endnote w:type="continuationSeparator" w:id="0">
    <w:p w14:paraId="5346B593" w14:textId="77777777" w:rsidR="00BC4D68" w:rsidRDefault="00BC4D68" w:rsidP="009F74AC">
      <w:pPr>
        <w:spacing w:after="0" w:line="240" w:lineRule="auto"/>
      </w:pPr>
      <w:r>
        <w:continuationSeparator/>
      </w:r>
    </w:p>
  </w:endnote>
  <w:endnote w:type="continuationNotice" w:id="1">
    <w:p w14:paraId="45EB0F15" w14:textId="77777777" w:rsidR="00BC4D68" w:rsidRDefault="00BC4D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96925"/>
      <w:docPartObj>
        <w:docPartGallery w:val="Page Numbers (Bottom of Page)"/>
        <w:docPartUnique/>
      </w:docPartObj>
    </w:sdtPr>
    <w:sdtEndPr>
      <w:rPr>
        <w:noProof/>
      </w:rPr>
    </w:sdtEndPr>
    <w:sdtContent>
      <w:p w14:paraId="3954A087" w14:textId="4C1A72FE" w:rsidR="00B54007" w:rsidRDefault="00B54007">
        <w:pPr>
          <w:pStyle w:val="Footer"/>
          <w:jc w:val="center"/>
        </w:pPr>
        <w:r>
          <w:fldChar w:fldCharType="begin"/>
        </w:r>
        <w:r>
          <w:instrText xml:space="preserve"> PAGE   \* MERGEFORMAT </w:instrText>
        </w:r>
        <w:r>
          <w:fldChar w:fldCharType="separate"/>
        </w:r>
        <w:r w:rsidR="001F7226">
          <w:rPr>
            <w:noProof/>
          </w:rPr>
          <w:t>11</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3AFF" w14:textId="77777777" w:rsidR="00BC4D68" w:rsidRDefault="00BC4D68" w:rsidP="009F74AC">
      <w:pPr>
        <w:spacing w:after="0" w:line="240" w:lineRule="auto"/>
      </w:pPr>
      <w:r>
        <w:separator/>
      </w:r>
    </w:p>
  </w:footnote>
  <w:footnote w:type="continuationSeparator" w:id="0">
    <w:p w14:paraId="491A70F2" w14:textId="77777777" w:rsidR="00BC4D68" w:rsidRDefault="00BC4D68" w:rsidP="009F74AC">
      <w:pPr>
        <w:spacing w:after="0" w:line="240" w:lineRule="auto"/>
      </w:pPr>
      <w:r>
        <w:continuationSeparator/>
      </w:r>
    </w:p>
  </w:footnote>
  <w:footnote w:type="continuationNotice" w:id="1">
    <w:p w14:paraId="400C1EEF" w14:textId="77777777" w:rsidR="00BC4D68" w:rsidRDefault="00BC4D6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358C" w14:textId="2F28E5C5" w:rsidR="00C74CD9" w:rsidRDefault="00C74CD9" w:rsidP="00C74CD9">
    <w:pPr>
      <w:pStyle w:val="Header"/>
      <w:jc w:val="center"/>
    </w:pPr>
    <w:r>
      <w:rPr>
        <w:noProof/>
        <w:lang w:eastAsia="en-GB"/>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E52562"/>
    <w:multiLevelType w:val="hybridMultilevel"/>
    <w:tmpl w:val="9DF68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03623"/>
    <w:multiLevelType w:val="hybridMultilevel"/>
    <w:tmpl w:val="A878B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652664"/>
    <w:multiLevelType w:val="hybridMultilevel"/>
    <w:tmpl w:val="61520A82"/>
    <w:lvl w:ilvl="0" w:tplc="C4104D8C">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467AB"/>
    <w:multiLevelType w:val="hybridMultilevel"/>
    <w:tmpl w:val="057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6"/>
  </w:num>
  <w:num w:numId="5">
    <w:abstractNumId w:val="5"/>
  </w:num>
  <w:num w:numId="6">
    <w:abstractNumId w:val="19"/>
  </w:num>
  <w:num w:numId="7">
    <w:abstractNumId w:val="14"/>
  </w:num>
  <w:num w:numId="8">
    <w:abstractNumId w:val="12"/>
  </w:num>
  <w:num w:numId="9">
    <w:abstractNumId w:val="9"/>
  </w:num>
  <w:num w:numId="10">
    <w:abstractNumId w:val="13"/>
  </w:num>
  <w:num w:numId="11">
    <w:abstractNumId w:val="2"/>
  </w:num>
  <w:num w:numId="12">
    <w:abstractNumId w:val="8"/>
  </w:num>
  <w:num w:numId="13">
    <w:abstractNumId w:val="11"/>
  </w:num>
  <w:num w:numId="14">
    <w:abstractNumId w:val="1"/>
  </w:num>
  <w:num w:numId="15">
    <w:abstractNumId w:val="17"/>
  </w:num>
  <w:num w:numId="16">
    <w:abstractNumId w:val="0"/>
  </w:num>
  <w:num w:numId="17">
    <w:abstractNumId w:val="18"/>
  </w:num>
  <w:num w:numId="18">
    <w:abstractNumId w:val="4"/>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C"/>
    <w:rsid w:val="000012C3"/>
    <w:rsid w:val="00001C0C"/>
    <w:rsid w:val="00010435"/>
    <w:rsid w:val="00021FD9"/>
    <w:rsid w:val="00023210"/>
    <w:rsid w:val="0002746A"/>
    <w:rsid w:val="00032CDB"/>
    <w:rsid w:val="000419A1"/>
    <w:rsid w:val="00044011"/>
    <w:rsid w:val="00046D9C"/>
    <w:rsid w:val="000554EC"/>
    <w:rsid w:val="00057570"/>
    <w:rsid w:val="0007287A"/>
    <w:rsid w:val="00080D8D"/>
    <w:rsid w:val="00082C3C"/>
    <w:rsid w:val="000A4EAF"/>
    <w:rsid w:val="000A6348"/>
    <w:rsid w:val="000A7174"/>
    <w:rsid w:val="000B0C37"/>
    <w:rsid w:val="000B1B88"/>
    <w:rsid w:val="000B6DE4"/>
    <w:rsid w:val="000C07D4"/>
    <w:rsid w:val="000C4B96"/>
    <w:rsid w:val="000C4E37"/>
    <w:rsid w:val="000F46FC"/>
    <w:rsid w:val="000F7A25"/>
    <w:rsid w:val="001211DC"/>
    <w:rsid w:val="001255FA"/>
    <w:rsid w:val="00126569"/>
    <w:rsid w:val="00130856"/>
    <w:rsid w:val="00147EB3"/>
    <w:rsid w:val="0017613B"/>
    <w:rsid w:val="00181523"/>
    <w:rsid w:val="0018299E"/>
    <w:rsid w:val="0018792C"/>
    <w:rsid w:val="001948B2"/>
    <w:rsid w:val="001A12FB"/>
    <w:rsid w:val="001A3E73"/>
    <w:rsid w:val="001A4180"/>
    <w:rsid w:val="001A5D87"/>
    <w:rsid w:val="001A7FEC"/>
    <w:rsid w:val="001B6E16"/>
    <w:rsid w:val="001C3A48"/>
    <w:rsid w:val="001D2FA7"/>
    <w:rsid w:val="001E04DA"/>
    <w:rsid w:val="001F45E4"/>
    <w:rsid w:val="001F7226"/>
    <w:rsid w:val="0020106B"/>
    <w:rsid w:val="0020260D"/>
    <w:rsid w:val="00210458"/>
    <w:rsid w:val="00230842"/>
    <w:rsid w:val="002322C4"/>
    <w:rsid w:val="002379AC"/>
    <w:rsid w:val="002413E6"/>
    <w:rsid w:val="002414E0"/>
    <w:rsid w:val="00247337"/>
    <w:rsid w:val="002538DD"/>
    <w:rsid w:val="00292B2C"/>
    <w:rsid w:val="00297E2C"/>
    <w:rsid w:val="002A167D"/>
    <w:rsid w:val="002B6584"/>
    <w:rsid w:val="002C0C3F"/>
    <w:rsid w:val="002C5B7D"/>
    <w:rsid w:val="002D3E58"/>
    <w:rsid w:val="002E16CB"/>
    <w:rsid w:val="002E4F95"/>
    <w:rsid w:val="00312E18"/>
    <w:rsid w:val="00320F61"/>
    <w:rsid w:val="00326516"/>
    <w:rsid w:val="003325FA"/>
    <w:rsid w:val="00336705"/>
    <w:rsid w:val="00336EA9"/>
    <w:rsid w:val="00354A3A"/>
    <w:rsid w:val="003745FB"/>
    <w:rsid w:val="003755E7"/>
    <w:rsid w:val="003939BC"/>
    <w:rsid w:val="003A0428"/>
    <w:rsid w:val="003A11E8"/>
    <w:rsid w:val="003A1EEF"/>
    <w:rsid w:val="003B33EC"/>
    <w:rsid w:val="003C7B7A"/>
    <w:rsid w:val="003E10EA"/>
    <w:rsid w:val="003E1D5D"/>
    <w:rsid w:val="00413E15"/>
    <w:rsid w:val="00417841"/>
    <w:rsid w:val="00425E50"/>
    <w:rsid w:val="00426636"/>
    <w:rsid w:val="004437B6"/>
    <w:rsid w:val="004441A6"/>
    <w:rsid w:val="00463CE5"/>
    <w:rsid w:val="004759D7"/>
    <w:rsid w:val="00480EB8"/>
    <w:rsid w:val="00484CCF"/>
    <w:rsid w:val="00486D65"/>
    <w:rsid w:val="004933C9"/>
    <w:rsid w:val="004A3A1F"/>
    <w:rsid w:val="004D5508"/>
    <w:rsid w:val="004D6C45"/>
    <w:rsid w:val="004E0652"/>
    <w:rsid w:val="004E15CA"/>
    <w:rsid w:val="004E764D"/>
    <w:rsid w:val="00512D54"/>
    <w:rsid w:val="00515388"/>
    <w:rsid w:val="00522012"/>
    <w:rsid w:val="005247D7"/>
    <w:rsid w:val="005266FA"/>
    <w:rsid w:val="0053637E"/>
    <w:rsid w:val="00546090"/>
    <w:rsid w:val="0054631C"/>
    <w:rsid w:val="005476F2"/>
    <w:rsid w:val="00551FD4"/>
    <w:rsid w:val="0056475E"/>
    <w:rsid w:val="0059760D"/>
    <w:rsid w:val="005A718A"/>
    <w:rsid w:val="005B3F30"/>
    <w:rsid w:val="005B6CC3"/>
    <w:rsid w:val="005C792B"/>
    <w:rsid w:val="005D2FF0"/>
    <w:rsid w:val="005D7341"/>
    <w:rsid w:val="005E6190"/>
    <w:rsid w:val="005F18AF"/>
    <w:rsid w:val="005F2F75"/>
    <w:rsid w:val="006037C0"/>
    <w:rsid w:val="00611507"/>
    <w:rsid w:val="00620E80"/>
    <w:rsid w:val="00623B8E"/>
    <w:rsid w:val="006463FF"/>
    <w:rsid w:val="00651710"/>
    <w:rsid w:val="0065626A"/>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67C3"/>
    <w:rsid w:val="007279C0"/>
    <w:rsid w:val="007370DD"/>
    <w:rsid w:val="00765106"/>
    <w:rsid w:val="0077222F"/>
    <w:rsid w:val="00790FFE"/>
    <w:rsid w:val="007912AA"/>
    <w:rsid w:val="00791E3A"/>
    <w:rsid w:val="007953CE"/>
    <w:rsid w:val="0079758C"/>
    <w:rsid w:val="007A0550"/>
    <w:rsid w:val="007A106E"/>
    <w:rsid w:val="007A1294"/>
    <w:rsid w:val="007A3859"/>
    <w:rsid w:val="007A557C"/>
    <w:rsid w:val="007B3A98"/>
    <w:rsid w:val="007B580B"/>
    <w:rsid w:val="007D27F2"/>
    <w:rsid w:val="007F48A5"/>
    <w:rsid w:val="0080195C"/>
    <w:rsid w:val="008040ED"/>
    <w:rsid w:val="008058F4"/>
    <w:rsid w:val="00812CA9"/>
    <w:rsid w:val="0081321F"/>
    <w:rsid w:val="008137C0"/>
    <w:rsid w:val="00821B3D"/>
    <w:rsid w:val="00826B08"/>
    <w:rsid w:val="00831F8D"/>
    <w:rsid w:val="00841B58"/>
    <w:rsid w:val="00850BFE"/>
    <w:rsid w:val="00860251"/>
    <w:rsid w:val="00865ACC"/>
    <w:rsid w:val="00876D53"/>
    <w:rsid w:val="00884E0C"/>
    <w:rsid w:val="008A350D"/>
    <w:rsid w:val="008C6B40"/>
    <w:rsid w:val="008C76B2"/>
    <w:rsid w:val="008D0E11"/>
    <w:rsid w:val="008D6228"/>
    <w:rsid w:val="00907EE8"/>
    <w:rsid w:val="00925D37"/>
    <w:rsid w:val="009313BE"/>
    <w:rsid w:val="00931959"/>
    <w:rsid w:val="00943505"/>
    <w:rsid w:val="00947E53"/>
    <w:rsid w:val="0095564D"/>
    <w:rsid w:val="00962E82"/>
    <w:rsid w:val="009654A5"/>
    <w:rsid w:val="00973D7F"/>
    <w:rsid w:val="00993FE3"/>
    <w:rsid w:val="0099616F"/>
    <w:rsid w:val="00997746"/>
    <w:rsid w:val="009A11AA"/>
    <w:rsid w:val="009A5255"/>
    <w:rsid w:val="009B0BE0"/>
    <w:rsid w:val="009B3349"/>
    <w:rsid w:val="009C5079"/>
    <w:rsid w:val="009D2751"/>
    <w:rsid w:val="009D5588"/>
    <w:rsid w:val="009D56E6"/>
    <w:rsid w:val="009D7C93"/>
    <w:rsid w:val="009F3B43"/>
    <w:rsid w:val="009F74AC"/>
    <w:rsid w:val="00A039B2"/>
    <w:rsid w:val="00A07D43"/>
    <w:rsid w:val="00A15E58"/>
    <w:rsid w:val="00A17864"/>
    <w:rsid w:val="00A22952"/>
    <w:rsid w:val="00A276B0"/>
    <w:rsid w:val="00A30143"/>
    <w:rsid w:val="00A303B5"/>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73B87"/>
    <w:rsid w:val="00B91FEA"/>
    <w:rsid w:val="00BA1536"/>
    <w:rsid w:val="00BA2063"/>
    <w:rsid w:val="00BA32F9"/>
    <w:rsid w:val="00BA33C9"/>
    <w:rsid w:val="00BB082C"/>
    <w:rsid w:val="00BC4D68"/>
    <w:rsid w:val="00BD09CA"/>
    <w:rsid w:val="00BE132D"/>
    <w:rsid w:val="00BF437E"/>
    <w:rsid w:val="00BF6FEA"/>
    <w:rsid w:val="00C3346C"/>
    <w:rsid w:val="00C340C6"/>
    <w:rsid w:val="00C448D7"/>
    <w:rsid w:val="00C46F27"/>
    <w:rsid w:val="00C5292F"/>
    <w:rsid w:val="00C57F73"/>
    <w:rsid w:val="00C66202"/>
    <w:rsid w:val="00C70D93"/>
    <w:rsid w:val="00C70E46"/>
    <w:rsid w:val="00C74CD9"/>
    <w:rsid w:val="00C77881"/>
    <w:rsid w:val="00C8003A"/>
    <w:rsid w:val="00C806B8"/>
    <w:rsid w:val="00C95766"/>
    <w:rsid w:val="00CA5E81"/>
    <w:rsid w:val="00CA66E2"/>
    <w:rsid w:val="00CC2D7B"/>
    <w:rsid w:val="00CC7FF9"/>
    <w:rsid w:val="00CD2B6B"/>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93661"/>
    <w:rsid w:val="00DA2013"/>
    <w:rsid w:val="00DA23F7"/>
    <w:rsid w:val="00DA5B5F"/>
    <w:rsid w:val="00DB1FA3"/>
    <w:rsid w:val="00DB7739"/>
    <w:rsid w:val="00DC3687"/>
    <w:rsid w:val="00DD6B4E"/>
    <w:rsid w:val="00DF47D7"/>
    <w:rsid w:val="00E0347C"/>
    <w:rsid w:val="00E05A28"/>
    <w:rsid w:val="00E162A0"/>
    <w:rsid w:val="00E162AE"/>
    <w:rsid w:val="00E201D7"/>
    <w:rsid w:val="00E213FC"/>
    <w:rsid w:val="00E32B40"/>
    <w:rsid w:val="00E34C92"/>
    <w:rsid w:val="00E36F6E"/>
    <w:rsid w:val="00E467F5"/>
    <w:rsid w:val="00E4681B"/>
    <w:rsid w:val="00E575AC"/>
    <w:rsid w:val="00E60611"/>
    <w:rsid w:val="00E628A8"/>
    <w:rsid w:val="00E63126"/>
    <w:rsid w:val="00E71959"/>
    <w:rsid w:val="00E81315"/>
    <w:rsid w:val="00E97B55"/>
    <w:rsid w:val="00EA3878"/>
    <w:rsid w:val="00EB6705"/>
    <w:rsid w:val="00EB78C2"/>
    <w:rsid w:val="00EC26EB"/>
    <w:rsid w:val="00ED3497"/>
    <w:rsid w:val="00ED3CA8"/>
    <w:rsid w:val="00EE7BF3"/>
    <w:rsid w:val="00EF110B"/>
    <w:rsid w:val="00F14452"/>
    <w:rsid w:val="00F24C90"/>
    <w:rsid w:val="00F3234F"/>
    <w:rsid w:val="00F432A0"/>
    <w:rsid w:val="00F47AC9"/>
    <w:rsid w:val="00F6667F"/>
    <w:rsid w:val="00F740AA"/>
    <w:rsid w:val="00F86A59"/>
    <w:rsid w:val="00F9105F"/>
    <w:rsid w:val="00FB43E6"/>
    <w:rsid w:val="00FB5CD0"/>
    <w:rsid w:val="00FB6CC9"/>
    <w:rsid w:val="00FC5639"/>
    <w:rsid w:val="00FC5E2D"/>
    <w:rsid w:val="00FD06CA"/>
    <w:rsid w:val="00FD28E2"/>
    <w:rsid w:val="00FD39F7"/>
    <w:rsid w:val="00FD5DC8"/>
    <w:rsid w:val="00FE02D5"/>
    <w:rsid w:val="00FE20EA"/>
    <w:rsid w:val="00FF5C11"/>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Harriet Limo</cp:lastModifiedBy>
  <cp:revision>2</cp:revision>
  <cp:lastPrinted>2023-03-28T08:01:00Z</cp:lastPrinted>
  <dcterms:created xsi:type="dcterms:W3CDTF">2023-03-28T11:39:00Z</dcterms:created>
  <dcterms:modified xsi:type="dcterms:W3CDTF">2023-03-28T11:39:00Z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