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5EF9C576" w:rsidR="00F6667F" w:rsidRPr="00EB6705" w:rsidRDefault="0095657A">
            <w:pPr>
              <w:rPr>
                <w:rFonts w:ascii="Open Sans" w:hAnsi="Open Sans" w:cs="Open Sans"/>
                <w:sz w:val="20"/>
                <w:szCs w:val="20"/>
              </w:rPr>
            </w:pPr>
            <w:r>
              <w:rPr>
                <w:rFonts w:ascii="Open Sans" w:hAnsi="Open Sans" w:cs="Open Sans"/>
                <w:sz w:val="20"/>
                <w:szCs w:val="20"/>
              </w:rPr>
              <w:t>Mark</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3C0F3A8A" w:rsidR="00F6667F" w:rsidRPr="00EB6705" w:rsidRDefault="0095657A">
            <w:pPr>
              <w:rPr>
                <w:rFonts w:ascii="Open Sans" w:hAnsi="Open Sans" w:cs="Open Sans"/>
                <w:sz w:val="20"/>
                <w:szCs w:val="20"/>
              </w:rPr>
            </w:pPr>
            <w:r>
              <w:rPr>
                <w:rFonts w:ascii="Open Sans" w:hAnsi="Open Sans" w:cs="Open Sans"/>
                <w:sz w:val="20"/>
                <w:szCs w:val="20"/>
              </w:rPr>
              <w:t>Green Climate Fund</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7CB483B" w:rsidR="00DB7739" w:rsidRPr="00EB6705" w:rsidRDefault="0095657A">
            <w:pPr>
              <w:rPr>
                <w:rFonts w:ascii="Open Sans" w:hAnsi="Open Sans" w:cs="Open Sans"/>
                <w:sz w:val="20"/>
                <w:szCs w:val="20"/>
              </w:rPr>
            </w:pPr>
            <w:r>
              <w:rPr>
                <w:rFonts w:ascii="Open Sans" w:hAnsi="Open Sans" w:cs="Open Sans"/>
                <w:sz w:val="20"/>
                <w:szCs w:val="20"/>
              </w:rPr>
              <w:t>Jerome</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2D1F6C8F" w:rsidR="00DB7739" w:rsidRPr="00EB6705" w:rsidRDefault="002A1F4C">
            <w:pPr>
              <w:rPr>
                <w:rFonts w:ascii="Open Sans" w:hAnsi="Open Sans" w:cs="Open Sans"/>
                <w:sz w:val="20"/>
                <w:szCs w:val="20"/>
              </w:rPr>
            </w:pPr>
            <w:r w:rsidRPr="00BA2063">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4DE731B4" w:rsidR="000C4E37" w:rsidRDefault="00000000" w:rsidP="000C4E37">
            <w:pPr>
              <w:rPr>
                <w:rFonts w:ascii="Open Sans" w:hAnsi="Open Sans" w:cs="Open Sans"/>
                <w:sz w:val="20"/>
                <w:szCs w:val="20"/>
              </w:rPr>
            </w:pPr>
            <w:hyperlink r:id="rId14" w:history="1">
              <w:r w:rsidR="002A1F4C" w:rsidRPr="001F33F0">
                <w:rPr>
                  <w:rStyle w:val="Hyperlink"/>
                  <w:rFonts w:ascii="Open Sans" w:hAnsi="Open Sans" w:cs="Open Sans"/>
                  <w:sz w:val="20"/>
                  <w:szCs w:val="20"/>
                </w:rPr>
                <w:t>mjerome@gcfund.org</w:t>
              </w:r>
            </w:hyperlink>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70A1AB80" w:rsidR="000C4E37" w:rsidRPr="00EB6705" w:rsidRDefault="002A1F4C" w:rsidP="000C4E37">
            <w:pPr>
              <w:rPr>
                <w:rFonts w:ascii="Open Sans" w:hAnsi="Open Sans" w:cs="Open Sans"/>
                <w:sz w:val="20"/>
                <w:szCs w:val="20"/>
              </w:rPr>
            </w:pPr>
            <w:r>
              <w:rPr>
                <w:rFonts w:ascii="Open Sans" w:hAnsi="Open Sans" w:cs="Open Sans"/>
                <w:sz w:val="20"/>
                <w:szCs w:val="20"/>
              </w:rPr>
              <w:t>South Korea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734AEB8" w:rsidR="000C4E37" w:rsidRPr="00EB6705" w:rsidRDefault="002A1F4C" w:rsidP="000C4E37">
            <w:pPr>
              <w:rPr>
                <w:rFonts w:ascii="Open Sans" w:hAnsi="Open Sans" w:cs="Open Sans"/>
                <w:sz w:val="20"/>
                <w:szCs w:val="20"/>
              </w:rPr>
            </w:pPr>
            <w:r>
              <w:rPr>
                <w:rFonts w:ascii="Open Sans" w:hAnsi="Open Sans" w:cs="Open Sans"/>
                <w:sz w:val="20"/>
                <w:szCs w:val="20"/>
              </w:rPr>
              <w:t>Head of Risk Management and Compliance a.i.</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0F40BE56" w14:textId="77777777" w:rsidR="000C4E37" w:rsidRDefault="0069165B" w:rsidP="000C4E37">
            <w:pPr>
              <w:rPr>
                <w:rFonts w:ascii="Open Sans" w:hAnsi="Open Sans" w:cs="Open Sans"/>
                <w:sz w:val="20"/>
                <w:szCs w:val="20"/>
              </w:rPr>
            </w:pPr>
            <w:r>
              <w:rPr>
                <w:rFonts w:ascii="Open Sans" w:hAnsi="Open Sans" w:cs="Open Sans"/>
                <w:sz w:val="20"/>
                <w:szCs w:val="20"/>
              </w:rPr>
              <w:t>Former auditor</w:t>
            </w:r>
          </w:p>
          <w:p w14:paraId="35AE1A56" w14:textId="15579E51" w:rsidR="0069165B" w:rsidRPr="00EB6705" w:rsidRDefault="0069165B" w:rsidP="000C4E37">
            <w:pPr>
              <w:rPr>
                <w:rFonts w:ascii="Open Sans" w:hAnsi="Open Sans" w:cs="Open Sans"/>
                <w:sz w:val="20"/>
                <w:szCs w:val="20"/>
              </w:rPr>
            </w:pPr>
            <w:r>
              <w:rPr>
                <w:rFonts w:ascii="Open Sans" w:hAnsi="Open Sans" w:cs="Open Sans"/>
                <w:sz w:val="20"/>
                <w:szCs w:val="20"/>
              </w:rPr>
              <w:t>Reviewer and consultant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956358">
              <w:rPr>
                <w:rFonts w:ascii="Open Sans" w:hAnsi="Open Sans" w:cs="Open Sans"/>
                <w:bCs/>
                <w:color w:val="000000"/>
                <w:sz w:val="20"/>
                <w:szCs w:val="20"/>
                <w:highlight w:val="yellow"/>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956358" w:rsidRDefault="006C21F6" w:rsidP="006C21F6">
            <w:pPr>
              <w:rPr>
                <w:rFonts w:ascii="Open Sans" w:hAnsi="Open Sans" w:cs="Open Sans"/>
                <w:bCs/>
                <w:strike/>
                <w:color w:val="000000"/>
                <w:sz w:val="20"/>
                <w:szCs w:val="20"/>
              </w:rPr>
            </w:pPr>
            <w:r w:rsidRPr="00956358">
              <w:rPr>
                <w:rFonts w:ascii="Open Sans" w:hAnsi="Open Sans" w:cs="Open Sans"/>
                <w:bCs/>
                <w:strike/>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64AB3C98" w:rsidR="00A7789F" w:rsidRPr="00EB6705" w:rsidRDefault="00AA0D26"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7AA225D7" w14:textId="77777777" w:rsidR="00757A2D" w:rsidRPr="00757A2D" w:rsidRDefault="00757A2D" w:rsidP="00757A2D">
            <w:pPr>
              <w:pStyle w:val="ListParagraph"/>
              <w:numPr>
                <w:ilvl w:val="0"/>
                <w:numId w:val="18"/>
              </w:numPr>
              <w:jc w:val="both"/>
              <w:rPr>
                <w:rFonts w:ascii="Open Sans" w:hAnsi="Open Sans" w:cs="Open Sans"/>
                <w:b/>
                <w:bCs/>
                <w:sz w:val="20"/>
                <w:szCs w:val="20"/>
                <w:lang w:val="en-US"/>
              </w:rPr>
            </w:pPr>
            <w:r w:rsidRPr="00757A2D">
              <w:rPr>
                <w:rFonts w:ascii="Open Sans" w:hAnsi="Open Sans" w:cs="Open Sans"/>
                <w:b/>
                <w:bCs/>
                <w:sz w:val="20"/>
                <w:szCs w:val="20"/>
                <w:lang w:val="en-US"/>
              </w:rPr>
              <w:t>GP 25-26, on the maintenance of INPAG, appear to impose a commitment to maintain INPAG so that it remains updated and relevant.  This is extremely desirable, but it is not clear how it will be funded or organized.</w:t>
            </w:r>
          </w:p>
          <w:p w14:paraId="194DB1B0" w14:textId="77777777" w:rsidR="00757A2D" w:rsidRPr="00757A2D" w:rsidRDefault="00757A2D" w:rsidP="00757A2D">
            <w:pPr>
              <w:pStyle w:val="ListParagraph"/>
              <w:numPr>
                <w:ilvl w:val="0"/>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In Section 2, paragraph G2.87 appears to belong in the section on Recognition Criteria (paragraphs G2.81-82), rather than Measurement Uncertainty.</w:t>
            </w:r>
          </w:p>
          <w:p w14:paraId="54A662E3" w14:textId="77777777" w:rsidR="00757A2D" w:rsidRPr="00757A2D" w:rsidRDefault="00757A2D" w:rsidP="00757A2D">
            <w:pPr>
              <w:pStyle w:val="ListParagraph"/>
              <w:numPr>
                <w:ilvl w:val="0"/>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In Section 4, I agree with the treatment of reserves for those organisations that do not have equity.  However, when an organisation does have equity, should it be made compulsory to disclose this on the face of the Statement of Financial Position?</w:t>
            </w:r>
          </w:p>
          <w:p w14:paraId="0E2C6FEA" w14:textId="481D66AB" w:rsidR="00757A2D" w:rsidRPr="00757A2D" w:rsidRDefault="00757A2D" w:rsidP="00757A2D">
            <w:pPr>
              <w:pStyle w:val="ListParagraph"/>
              <w:numPr>
                <w:ilvl w:val="0"/>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 xml:space="preserve">In the glossary of terms, is it possible to be more specific in the definition of “highly probable” and “probable”?  </w:t>
            </w:r>
            <w:r w:rsidR="00D72BCC">
              <w:rPr>
                <w:rFonts w:ascii="Open Sans" w:hAnsi="Open Sans" w:cs="Open Sans"/>
                <w:b/>
                <w:bCs/>
                <w:sz w:val="20"/>
                <w:szCs w:val="20"/>
                <w:lang w:val="en-US"/>
              </w:rPr>
              <w:t>T</w:t>
            </w:r>
            <w:r w:rsidRPr="00757A2D">
              <w:rPr>
                <w:rFonts w:ascii="Open Sans" w:hAnsi="Open Sans" w:cs="Open Sans"/>
                <w:b/>
                <w:bCs/>
                <w:sz w:val="20"/>
                <w:szCs w:val="20"/>
                <w:lang w:val="en-US"/>
              </w:rPr>
              <w:t>hese qualitative terms can be interpreted in very different ways.  If the definitions could include a percentage (or percentage range), that would be very helpful.</w:t>
            </w:r>
          </w:p>
          <w:p w14:paraId="59CE287E" w14:textId="77777777" w:rsidR="00757A2D" w:rsidRPr="00757A2D" w:rsidRDefault="00757A2D" w:rsidP="00757A2D">
            <w:pPr>
              <w:pStyle w:val="ListParagraph"/>
              <w:numPr>
                <w:ilvl w:val="0"/>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In the Implementation Guidance on Section 35, I have the following concerns about paragraph IG35.17:</w:t>
            </w:r>
          </w:p>
          <w:p w14:paraId="54F4445C" w14:textId="77777777" w:rsidR="00757A2D" w:rsidRPr="00757A2D" w:rsidRDefault="00757A2D" w:rsidP="00757A2D">
            <w:pPr>
              <w:pStyle w:val="ListParagraph"/>
              <w:numPr>
                <w:ilvl w:val="1"/>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Shouldn’t the performance measures include 4-way comparisons between budget, workplan, financial results and operational results?</w:t>
            </w:r>
          </w:p>
          <w:p w14:paraId="1B6D03EB" w14:textId="2BE4FD0A" w:rsidR="002B460A" w:rsidRPr="00D72BCC" w:rsidRDefault="00757A2D" w:rsidP="00D72BCC">
            <w:pPr>
              <w:pStyle w:val="ListParagraph"/>
              <w:numPr>
                <w:ilvl w:val="1"/>
                <w:numId w:val="18"/>
              </w:numPr>
              <w:contextualSpacing w:val="0"/>
              <w:rPr>
                <w:rFonts w:ascii="Open Sans" w:hAnsi="Open Sans" w:cs="Open Sans"/>
                <w:b/>
                <w:bCs/>
                <w:sz w:val="20"/>
                <w:szCs w:val="20"/>
                <w:lang w:val="en-US"/>
              </w:rPr>
            </w:pPr>
            <w:r w:rsidRPr="00757A2D">
              <w:rPr>
                <w:rFonts w:ascii="Open Sans" w:hAnsi="Open Sans" w:cs="Open Sans"/>
                <w:b/>
                <w:bCs/>
                <w:sz w:val="20"/>
                <w:szCs w:val="20"/>
                <w:lang w:val="en-US"/>
              </w:rPr>
              <w:t>In the first sentence, it stated that the “performance measures and descriptions that an NPO selects will depend on […] whether it wants to focus on inputs, outputs, outcomes and/or impact”.  Inputs, outputs and outcomes are then discussed separately; shouldn’t there also be a section on impact?</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20099CD2" w:rsidR="00FE20EA" w:rsidRPr="00D90216" w:rsidRDefault="00416D9F"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 and yes</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7E224BE7" w:rsidR="00A7789F" w:rsidRPr="00EB6705" w:rsidRDefault="00416D9F"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There may be some </w:t>
            </w:r>
            <w:r w:rsidR="00E44F34">
              <w:rPr>
                <w:rFonts w:ascii="Open Sans" w:hAnsi="Open Sans" w:cs="Open Sans"/>
                <w:b/>
                <w:bCs/>
                <w:sz w:val="20"/>
                <w:szCs w:val="20"/>
                <w:lang w:val="en-US"/>
              </w:rPr>
              <w:t>uncertainty at the margins</w:t>
            </w:r>
            <w:r w:rsidR="00FC5E5A">
              <w:rPr>
                <w:rFonts w:ascii="Open Sans" w:hAnsi="Open Sans" w:cs="Open Sans"/>
                <w:b/>
                <w:bCs/>
                <w:sz w:val="20"/>
                <w:szCs w:val="20"/>
                <w:lang w:val="en-US"/>
              </w:rPr>
              <w:t xml:space="preserve"> – </w:t>
            </w:r>
            <w:r w:rsidR="00E44F34">
              <w:rPr>
                <w:rFonts w:ascii="Open Sans" w:hAnsi="Open Sans" w:cs="Open Sans"/>
                <w:b/>
                <w:bCs/>
                <w:sz w:val="20"/>
                <w:szCs w:val="20"/>
                <w:lang w:val="en-US"/>
              </w:rPr>
              <w:t xml:space="preserve">whether an entity should comply with INPAG or IFRS, or whether INPAG or cash-based accounting </w:t>
            </w:r>
            <w:r w:rsidR="00FC5E5A">
              <w:rPr>
                <w:rFonts w:ascii="Open Sans" w:hAnsi="Open Sans" w:cs="Open Sans"/>
                <w:b/>
                <w:bCs/>
                <w:sz w:val="20"/>
                <w:szCs w:val="20"/>
                <w:lang w:val="en-US"/>
              </w:rPr>
              <w:t>would be more appropriate.  H</w:t>
            </w:r>
            <w:r w:rsidR="00044CF3">
              <w:rPr>
                <w:rFonts w:ascii="Open Sans" w:hAnsi="Open Sans" w:cs="Open Sans"/>
                <w:b/>
                <w:bCs/>
                <w:sz w:val="20"/>
                <w:szCs w:val="20"/>
                <w:lang w:val="en-US"/>
              </w:rPr>
              <w:t>o</w:t>
            </w:r>
            <w:r w:rsidR="00FC5E5A">
              <w:rPr>
                <w:rFonts w:ascii="Open Sans" w:hAnsi="Open Sans" w:cs="Open Sans"/>
                <w:b/>
                <w:bCs/>
                <w:sz w:val="20"/>
                <w:szCs w:val="20"/>
                <w:lang w:val="en-US"/>
              </w:rPr>
              <w:t>wever,</w:t>
            </w:r>
            <w:r w:rsidR="00044CF3">
              <w:rPr>
                <w:rFonts w:ascii="Open Sans" w:hAnsi="Open Sans" w:cs="Open Sans"/>
                <w:b/>
                <w:bCs/>
                <w:sz w:val="20"/>
                <w:szCs w:val="20"/>
                <w:lang w:val="en-US"/>
              </w:rPr>
              <w:t xml:space="preserve"> I do not think it would be </w:t>
            </w:r>
            <w:r w:rsidR="00A67287">
              <w:rPr>
                <w:rFonts w:ascii="Open Sans" w:hAnsi="Open Sans" w:cs="Open Sans"/>
                <w:b/>
                <w:bCs/>
                <w:sz w:val="20"/>
                <w:szCs w:val="20"/>
                <w:lang w:val="en-US"/>
              </w:rPr>
              <w:t xml:space="preserve">possible to find a </w:t>
            </w:r>
            <w:r w:rsidR="001A3801">
              <w:rPr>
                <w:rFonts w:ascii="Open Sans" w:hAnsi="Open Sans" w:cs="Open Sans"/>
                <w:b/>
                <w:bCs/>
                <w:sz w:val="20"/>
                <w:szCs w:val="20"/>
                <w:lang w:val="en-US"/>
              </w:rPr>
              <w:t>realistic or reasonable approach that does not have such uncertainties.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51742B6"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 and 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4040E8FF"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268A2A84"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0E711C7F"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05D94A59"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14323DA2"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 and 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1BCE7440"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43B39F9" w:rsidR="00FE20EA" w:rsidRPr="00EB6705" w:rsidRDefault="00162BBE"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2F065FCA" w:rsidR="007A3859" w:rsidRPr="00EB6705" w:rsidRDefault="00162BBE" w:rsidP="007A3859">
            <w:pPr>
              <w:jc w:val="both"/>
              <w:rPr>
                <w:rFonts w:ascii="Open Sans" w:hAnsi="Open Sans" w:cs="Open Sans"/>
                <w:b/>
                <w:bCs/>
                <w:sz w:val="20"/>
                <w:szCs w:val="20"/>
                <w:lang w:val="en-US"/>
              </w:rPr>
            </w:pPr>
            <w:r>
              <w:rPr>
                <w:rFonts w:ascii="Open Sans" w:hAnsi="Open Sans" w:cs="Open Sans"/>
                <w:b/>
                <w:bCs/>
                <w:sz w:val="20"/>
                <w:szCs w:val="20"/>
                <w:lang w:val="en-US"/>
              </w:rPr>
              <w:t>Yes and 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01C28FE7" w:rsidR="0054631C" w:rsidRPr="00EB6705" w:rsidRDefault="004226EA"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37AE02F2" w14:textId="77777777" w:rsidR="0054631C" w:rsidRDefault="00BC4A3B" w:rsidP="00FE20EA">
            <w:pPr>
              <w:rPr>
                <w:rFonts w:ascii="Open Sans" w:hAnsi="Open Sans" w:cs="Open Sans"/>
                <w:b/>
                <w:bCs/>
                <w:sz w:val="20"/>
                <w:szCs w:val="20"/>
                <w:lang w:val="en-US"/>
              </w:rPr>
            </w:pPr>
            <w:r>
              <w:rPr>
                <w:rFonts w:ascii="Open Sans" w:hAnsi="Open Sans" w:cs="Open Sans"/>
                <w:b/>
                <w:bCs/>
                <w:sz w:val="20"/>
                <w:szCs w:val="20"/>
                <w:lang w:val="en-US"/>
              </w:rPr>
              <w:t xml:space="preserve">Should </w:t>
            </w:r>
            <w:r w:rsidR="00FE0373">
              <w:rPr>
                <w:rFonts w:ascii="Open Sans" w:hAnsi="Open Sans" w:cs="Open Sans"/>
                <w:b/>
                <w:bCs/>
                <w:sz w:val="20"/>
                <w:szCs w:val="20"/>
                <w:lang w:val="en-US"/>
              </w:rPr>
              <w:t xml:space="preserve">INPAG require financial statements to state comparative amounts or corresponding figures?  This will have an impact on the </w:t>
            </w:r>
            <w:r w:rsidR="000E375C">
              <w:rPr>
                <w:rFonts w:ascii="Open Sans" w:hAnsi="Open Sans" w:cs="Open Sans"/>
                <w:b/>
                <w:bCs/>
                <w:sz w:val="20"/>
                <w:szCs w:val="20"/>
                <w:lang w:val="en-US"/>
              </w:rPr>
              <w:t>audit:  Paragraph 3 of ISA 710 states:</w:t>
            </w:r>
          </w:p>
          <w:p w14:paraId="1C14ED24" w14:textId="77777777" w:rsidR="000E375C" w:rsidRDefault="000E375C" w:rsidP="00FE20EA">
            <w:r>
              <w:t xml:space="preserve">“The essential audit reporting differences between the approaches are: </w:t>
            </w:r>
          </w:p>
          <w:p w14:paraId="727DE853" w14:textId="77777777" w:rsidR="000E375C" w:rsidRDefault="000E375C" w:rsidP="00FE20EA">
            <w:r>
              <w:t xml:space="preserve">(a) For corresponding figures, the auditor’s opinion on the financial statements refers to the current period only; whereas </w:t>
            </w:r>
          </w:p>
          <w:p w14:paraId="4909A4DF" w14:textId="77777777" w:rsidR="000E375C" w:rsidRDefault="000E375C" w:rsidP="00FE20EA">
            <w:r>
              <w:t>(b) For comparative financial statements, the auditor’s opinion refers to each period for which financial statements are presented.”</w:t>
            </w:r>
          </w:p>
          <w:p w14:paraId="58F51CF7" w14:textId="77777777" w:rsidR="000E375C" w:rsidRDefault="000E375C" w:rsidP="00FE20EA">
            <w:pPr>
              <w:rPr>
                <w:rFonts w:ascii="Open Sans" w:hAnsi="Open Sans" w:cs="Open Sans"/>
                <w:b/>
                <w:bCs/>
                <w:sz w:val="20"/>
                <w:szCs w:val="20"/>
                <w:lang w:val="en-US"/>
              </w:rPr>
            </w:pPr>
          </w:p>
          <w:p w14:paraId="4E650346" w14:textId="2962FF7C" w:rsidR="000E375C" w:rsidRDefault="000E375C" w:rsidP="000E375C">
            <w:pPr>
              <w:rPr>
                <w:rFonts w:ascii="Open Sans" w:hAnsi="Open Sans" w:cs="Open Sans"/>
                <w:b/>
                <w:bCs/>
                <w:sz w:val="20"/>
                <w:szCs w:val="20"/>
                <w:lang w:val="en-US"/>
              </w:rPr>
            </w:pPr>
            <w:r>
              <w:rPr>
                <w:rFonts w:ascii="Open Sans" w:hAnsi="Open Sans" w:cs="Open Sans"/>
                <w:b/>
                <w:bCs/>
                <w:sz w:val="20"/>
                <w:szCs w:val="20"/>
                <w:lang w:val="en-US"/>
              </w:rPr>
              <w:t xml:space="preserve">Whichever option is followed, I </w:t>
            </w:r>
            <w:r w:rsidR="00F73A83">
              <w:rPr>
                <w:rFonts w:ascii="Open Sans" w:hAnsi="Open Sans" w:cs="Open Sans"/>
                <w:b/>
                <w:bCs/>
                <w:sz w:val="20"/>
                <w:szCs w:val="20"/>
                <w:lang w:val="en-US"/>
              </w:rPr>
              <w:t xml:space="preserve">agree that the comparatives or corresponding figures should be shown on the face </w:t>
            </w:r>
            <w:r w:rsidR="00780BEF">
              <w:rPr>
                <w:rFonts w:ascii="Open Sans" w:hAnsi="Open Sans" w:cs="Open Sans"/>
                <w:b/>
                <w:bCs/>
                <w:sz w:val="20"/>
                <w:szCs w:val="20"/>
                <w:lang w:val="en-US"/>
              </w:rPr>
              <w:t>of the primary statements.</w:t>
            </w:r>
          </w:p>
          <w:p w14:paraId="19A8C9D2" w14:textId="6C497407" w:rsidR="000E375C" w:rsidRPr="00EB6705" w:rsidRDefault="000E375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CB49696" w:rsidR="00FE20EA" w:rsidRPr="00EB6705" w:rsidRDefault="00780BEF" w:rsidP="00FE20EA">
            <w:pPr>
              <w:rPr>
                <w:rFonts w:ascii="Open Sans" w:hAnsi="Open Sans" w:cs="Open Sans"/>
                <w:b/>
                <w:bCs/>
                <w:sz w:val="20"/>
                <w:szCs w:val="20"/>
                <w:lang w:val="en-US"/>
              </w:rPr>
            </w:pPr>
            <w:r>
              <w:rPr>
                <w:rFonts w:ascii="Open Sans" w:hAnsi="Open Sans" w:cs="Open Sans"/>
                <w:b/>
                <w:bCs/>
                <w:sz w:val="20"/>
                <w:szCs w:val="20"/>
                <w:lang w:val="en-US"/>
              </w:rPr>
              <w:t>Yes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34704B03" w14:textId="77777777" w:rsidR="0054631C" w:rsidRDefault="0004016D" w:rsidP="0054631C">
            <w:pPr>
              <w:rPr>
                <w:rFonts w:ascii="Open Sans" w:hAnsi="Open Sans" w:cs="Open Sans"/>
                <w:b/>
                <w:bCs/>
                <w:sz w:val="20"/>
                <w:szCs w:val="20"/>
                <w:lang w:val="en-US"/>
              </w:rPr>
            </w:pPr>
            <w:r>
              <w:rPr>
                <w:rFonts w:ascii="Open Sans" w:hAnsi="Open Sans" w:cs="Open Sans"/>
                <w:b/>
                <w:bCs/>
                <w:sz w:val="20"/>
                <w:szCs w:val="20"/>
                <w:lang w:val="en-US"/>
              </w:rPr>
              <w:t>Yes.</w:t>
            </w:r>
          </w:p>
          <w:p w14:paraId="5C708D66" w14:textId="1B1D6111" w:rsidR="0004016D" w:rsidRPr="00EB6705" w:rsidRDefault="0004016D" w:rsidP="0054631C">
            <w:pPr>
              <w:rPr>
                <w:rFonts w:ascii="Open Sans" w:hAnsi="Open Sans" w:cs="Open Sans"/>
                <w:b/>
                <w:bCs/>
                <w:sz w:val="20"/>
                <w:szCs w:val="20"/>
                <w:lang w:val="en-US"/>
              </w:rPr>
            </w:pPr>
            <w:r>
              <w:rPr>
                <w:rFonts w:ascii="Open Sans" w:hAnsi="Open Sans" w:cs="Open Sans"/>
                <w:b/>
                <w:bCs/>
                <w:sz w:val="20"/>
                <w:szCs w:val="20"/>
                <w:lang w:val="en-US"/>
              </w:rPr>
              <w:t>However</w:t>
            </w:r>
            <w:r w:rsidR="008C7E48">
              <w:rPr>
                <w:rFonts w:ascii="Open Sans" w:hAnsi="Open Sans" w:cs="Open Sans"/>
                <w:b/>
                <w:bCs/>
                <w:sz w:val="20"/>
                <w:szCs w:val="20"/>
                <w:lang w:val="en-US"/>
              </w:rPr>
              <w:t xml:space="preserve">, I would add to G4.9, on the normal operating cycle, </w:t>
            </w:r>
            <w:r w:rsidR="006533DB">
              <w:rPr>
                <w:rFonts w:ascii="Open Sans" w:hAnsi="Open Sans" w:cs="Open Sans"/>
                <w:b/>
                <w:bCs/>
                <w:sz w:val="20"/>
                <w:szCs w:val="20"/>
                <w:lang w:val="en-US"/>
              </w:rPr>
              <w:t xml:space="preserve">a requirement </w:t>
            </w:r>
            <w:r w:rsidR="008C7E48">
              <w:rPr>
                <w:rFonts w:ascii="Open Sans" w:hAnsi="Open Sans" w:cs="Open Sans"/>
                <w:b/>
                <w:bCs/>
                <w:sz w:val="20"/>
                <w:szCs w:val="20"/>
                <w:lang w:val="en-US"/>
              </w:rPr>
              <w:t>that</w:t>
            </w:r>
            <w:r w:rsidR="006533DB">
              <w:rPr>
                <w:rFonts w:ascii="Open Sans" w:hAnsi="Open Sans" w:cs="Open Sans"/>
                <w:b/>
                <w:bCs/>
                <w:sz w:val="20"/>
                <w:szCs w:val="20"/>
                <w:lang w:val="en-US"/>
              </w:rPr>
              <w:t xml:space="preserve"> an entity should disclose any operating cycle that is not 12 months</w:t>
            </w:r>
            <w:r w:rsidR="009F30E8">
              <w:rPr>
                <w:rFonts w:ascii="Open Sans" w:hAnsi="Open Sans" w:cs="Open Sans"/>
                <w:b/>
                <w:bCs/>
                <w:sz w:val="20"/>
                <w:szCs w:val="20"/>
                <w:lang w:val="en-US"/>
              </w:rPr>
              <w:t>.  (If an entity’s activities involve infrastructure or insurance (for example), the operating cycle could be much longer than 12 months.)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F9B2A20" w:rsidR="0054631C" w:rsidRPr="00EB6705" w:rsidRDefault="00722D2D"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0A6A713A" w:rsidR="00D170DB" w:rsidRPr="00EB6705" w:rsidRDefault="00B37E8A"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678665E4" w:rsidR="00D170DB" w:rsidRPr="00EB6705" w:rsidRDefault="00B37E8A"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03F00091" w:rsidR="00D170DB" w:rsidRPr="00EB6705" w:rsidRDefault="00B37E8A"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09832C50" w:rsidR="00D170DB" w:rsidRPr="00EB6705" w:rsidRDefault="00602785" w:rsidP="00D170DB">
            <w:pPr>
              <w:rPr>
                <w:rFonts w:ascii="Open Sans" w:hAnsi="Open Sans" w:cs="Open Sans"/>
                <w:b/>
                <w:bCs/>
                <w:sz w:val="20"/>
                <w:szCs w:val="20"/>
                <w:lang w:val="en-US"/>
              </w:rPr>
            </w:pPr>
            <w:r>
              <w:rPr>
                <w:rFonts w:ascii="Open Sans" w:hAnsi="Open Sans" w:cs="Open Sans"/>
                <w:b/>
                <w:bCs/>
                <w:sz w:val="20"/>
                <w:szCs w:val="20"/>
                <w:lang w:val="en-US"/>
              </w:rPr>
              <w:t>Yes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0AC76FC0" w:rsidR="005A718A" w:rsidRPr="00EB6705" w:rsidRDefault="00602785" w:rsidP="005A718A">
            <w:pPr>
              <w:rPr>
                <w:rFonts w:ascii="Open Sans" w:hAnsi="Open Sans" w:cs="Open Sans"/>
                <w:b/>
                <w:bCs/>
                <w:sz w:val="20"/>
                <w:szCs w:val="20"/>
                <w:lang w:val="en-US"/>
              </w:rPr>
            </w:pPr>
            <w:r>
              <w:rPr>
                <w:rFonts w:ascii="Open Sans" w:hAnsi="Open Sans" w:cs="Open Sans"/>
                <w:b/>
                <w:bCs/>
                <w:sz w:val="20"/>
                <w:szCs w:val="20"/>
                <w:lang w:val="en-US"/>
              </w:rPr>
              <w:t>Yes and yes</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3E7FABA5" w:rsidR="005A718A" w:rsidRPr="00EB6705" w:rsidRDefault="00602785" w:rsidP="005A718A">
            <w:pPr>
              <w:rPr>
                <w:rFonts w:ascii="Open Sans" w:hAnsi="Open Sans" w:cs="Open Sans"/>
                <w:b/>
                <w:bCs/>
                <w:sz w:val="20"/>
                <w:szCs w:val="20"/>
                <w:lang w:val="en-US"/>
              </w:rPr>
            </w:pPr>
            <w:r>
              <w:rPr>
                <w:rFonts w:ascii="Open Sans" w:hAnsi="Open Sans" w:cs="Open Sans"/>
                <w:b/>
                <w:bCs/>
                <w:sz w:val="20"/>
                <w:szCs w:val="20"/>
                <w:lang w:val="en-US"/>
              </w:rPr>
              <w:t>Yes</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2187FF06" w:rsidR="000C07D4" w:rsidRPr="00EB6705" w:rsidRDefault="00602785"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4939F141" w:rsidR="000C07D4" w:rsidRPr="00EB6705" w:rsidRDefault="00602785"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55720324" w:rsidR="000C07D4" w:rsidRPr="00EB6705" w:rsidRDefault="00602785"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015B49CC" w14:textId="77777777" w:rsidR="00C8003A" w:rsidRDefault="001E6056" w:rsidP="00C8003A">
            <w:pPr>
              <w:jc w:val="both"/>
              <w:rPr>
                <w:rFonts w:ascii="Open Sans" w:hAnsi="Open Sans" w:cs="Open Sans"/>
                <w:b/>
                <w:bCs/>
                <w:sz w:val="20"/>
                <w:szCs w:val="20"/>
                <w:lang w:val="en-US"/>
              </w:rPr>
            </w:pPr>
            <w:r>
              <w:rPr>
                <w:rFonts w:ascii="Open Sans" w:hAnsi="Open Sans" w:cs="Open Sans"/>
                <w:b/>
                <w:bCs/>
                <w:sz w:val="20"/>
                <w:szCs w:val="20"/>
                <w:lang w:val="en-US"/>
              </w:rPr>
              <w:t>Yes</w:t>
            </w:r>
            <w:r w:rsidR="009C533A">
              <w:rPr>
                <w:rFonts w:ascii="Open Sans" w:hAnsi="Open Sans" w:cs="Open Sans"/>
                <w:b/>
                <w:bCs/>
                <w:sz w:val="20"/>
                <w:szCs w:val="20"/>
                <w:lang w:val="en-US"/>
              </w:rPr>
              <w:t>.</w:t>
            </w:r>
          </w:p>
          <w:p w14:paraId="32CE8A4B" w14:textId="77777777" w:rsidR="009C533A" w:rsidRDefault="009C533A" w:rsidP="00C8003A">
            <w:pPr>
              <w:jc w:val="both"/>
              <w:rPr>
                <w:rFonts w:ascii="Open Sans" w:hAnsi="Open Sans" w:cs="Open Sans"/>
                <w:b/>
                <w:bCs/>
                <w:sz w:val="20"/>
                <w:szCs w:val="20"/>
                <w:lang w:val="en-US"/>
              </w:rPr>
            </w:pPr>
            <w:r>
              <w:rPr>
                <w:rFonts w:ascii="Open Sans" w:hAnsi="Open Sans" w:cs="Open Sans"/>
                <w:b/>
                <w:bCs/>
                <w:sz w:val="20"/>
                <w:szCs w:val="20"/>
                <w:lang w:val="en-US"/>
              </w:rPr>
              <w:t xml:space="preserve">However, I would strongly encourage (or even require) </w:t>
            </w:r>
            <w:r w:rsidR="006677A3">
              <w:rPr>
                <w:rFonts w:ascii="Open Sans" w:hAnsi="Open Sans" w:cs="Open Sans"/>
                <w:b/>
                <w:bCs/>
                <w:sz w:val="20"/>
                <w:szCs w:val="20"/>
                <w:lang w:val="en-US"/>
              </w:rPr>
              <w:t>any NPO</w:t>
            </w:r>
            <w:r>
              <w:rPr>
                <w:rFonts w:ascii="Open Sans" w:hAnsi="Open Sans" w:cs="Open Sans"/>
                <w:b/>
                <w:bCs/>
                <w:sz w:val="20"/>
                <w:szCs w:val="20"/>
                <w:lang w:val="en-US"/>
              </w:rPr>
              <w:t xml:space="preserve"> </w:t>
            </w:r>
            <w:r w:rsidR="006677A3">
              <w:rPr>
                <w:rFonts w:ascii="Open Sans" w:hAnsi="Open Sans" w:cs="Open Sans"/>
                <w:b/>
                <w:bCs/>
                <w:sz w:val="20"/>
                <w:szCs w:val="20"/>
                <w:lang w:val="en-US"/>
              </w:rPr>
              <w:t xml:space="preserve">that discloses its budgets publicly to </w:t>
            </w:r>
            <w:r w:rsidR="005F2AA7">
              <w:rPr>
                <w:rFonts w:ascii="Open Sans" w:hAnsi="Open Sans" w:cs="Open Sans"/>
                <w:b/>
                <w:bCs/>
                <w:sz w:val="20"/>
                <w:szCs w:val="20"/>
                <w:lang w:val="en-US"/>
              </w:rPr>
              <w:t>present a comparison of budget and actual expenses</w:t>
            </w:r>
            <w:r w:rsidR="00756ED6">
              <w:rPr>
                <w:rFonts w:ascii="Open Sans" w:hAnsi="Open Sans" w:cs="Open Sans"/>
                <w:b/>
                <w:bCs/>
                <w:sz w:val="20"/>
                <w:szCs w:val="20"/>
                <w:lang w:val="en-US"/>
              </w:rPr>
              <w:t xml:space="preserve">, </w:t>
            </w:r>
            <w:r w:rsidR="008F3AAD">
              <w:rPr>
                <w:rFonts w:ascii="Open Sans" w:hAnsi="Open Sans" w:cs="Open Sans"/>
                <w:b/>
                <w:bCs/>
                <w:sz w:val="20"/>
                <w:szCs w:val="20"/>
                <w:lang w:val="en-US"/>
              </w:rPr>
              <w:t>in accordance with</w:t>
            </w:r>
            <w:r w:rsidR="0035418D">
              <w:rPr>
                <w:rFonts w:ascii="Open Sans" w:hAnsi="Open Sans" w:cs="Open Sans"/>
                <w:b/>
                <w:bCs/>
                <w:sz w:val="20"/>
                <w:szCs w:val="20"/>
                <w:lang w:val="en-US"/>
              </w:rPr>
              <w:t xml:space="preserve"> the requirements of</w:t>
            </w:r>
            <w:r w:rsidR="008F3AAD">
              <w:rPr>
                <w:rFonts w:ascii="Open Sans" w:hAnsi="Open Sans" w:cs="Open Sans"/>
                <w:b/>
                <w:bCs/>
                <w:sz w:val="20"/>
                <w:szCs w:val="20"/>
                <w:lang w:val="en-US"/>
              </w:rPr>
              <w:t xml:space="preserve"> IPSAS 24 (</w:t>
            </w:r>
            <w:r w:rsidR="008F3AAD" w:rsidRPr="0035418D">
              <w:rPr>
                <w:rFonts w:ascii="Open Sans" w:hAnsi="Open Sans" w:cs="Open Sans"/>
                <w:b/>
                <w:bCs/>
                <w:i/>
                <w:iCs/>
                <w:sz w:val="20"/>
                <w:szCs w:val="20"/>
                <w:lang w:val="en-US"/>
              </w:rPr>
              <w:t>Presentation of Budget Information in Financial Statements</w:t>
            </w:r>
            <w:r w:rsidR="008F3AAD">
              <w:rPr>
                <w:rFonts w:ascii="Open Sans" w:hAnsi="Open Sans" w:cs="Open Sans"/>
                <w:b/>
                <w:bCs/>
                <w:sz w:val="20"/>
                <w:szCs w:val="20"/>
                <w:lang w:val="en-US"/>
              </w:rPr>
              <w:t>)</w:t>
            </w:r>
            <w:r w:rsidR="0035418D">
              <w:rPr>
                <w:rFonts w:ascii="Open Sans" w:hAnsi="Open Sans" w:cs="Open Sans"/>
                <w:b/>
                <w:bCs/>
                <w:sz w:val="20"/>
                <w:szCs w:val="20"/>
                <w:lang w:val="en-US"/>
              </w:rPr>
              <w:t>.</w:t>
            </w:r>
          </w:p>
          <w:p w14:paraId="71D7F86A" w14:textId="727289BD" w:rsidR="008C5782" w:rsidRPr="00EB6705" w:rsidRDefault="008C5782" w:rsidP="0046265B">
            <w:pPr>
              <w:jc w:val="both"/>
              <w:rPr>
                <w:rFonts w:ascii="Open Sans" w:hAnsi="Open Sans" w:cs="Open Sans"/>
                <w:b/>
                <w:bCs/>
                <w:sz w:val="20"/>
                <w:szCs w:val="20"/>
                <w:lang w:val="en-US"/>
              </w:rPr>
            </w:pPr>
            <w:r>
              <w:rPr>
                <w:rFonts w:ascii="Open Sans" w:hAnsi="Open Sans" w:cs="Open Sans"/>
                <w:b/>
                <w:bCs/>
                <w:sz w:val="20"/>
                <w:szCs w:val="20"/>
                <w:lang w:val="en-US"/>
              </w:rPr>
              <w:t>I am also raising this in re</w:t>
            </w:r>
            <w:r w:rsidR="0046265B">
              <w:rPr>
                <w:rFonts w:ascii="Open Sans" w:hAnsi="Open Sans" w:cs="Open Sans"/>
                <w:b/>
                <w:bCs/>
                <w:sz w:val="20"/>
                <w:szCs w:val="20"/>
                <w:lang w:val="en-US"/>
              </w:rPr>
              <w:t>sponse to Q 12(b), in case it is preferred to include this comparison in the narrative reports.</w:t>
            </w:r>
          </w:p>
        </w:tc>
      </w:tr>
    </w:tbl>
    <w:p w14:paraId="7A83EB8D" w14:textId="01B3236B"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41643B9B" w14:textId="77777777" w:rsidR="004063D9" w:rsidRDefault="005D2E4A" w:rsidP="004063D9">
            <w:pPr>
              <w:jc w:val="both"/>
              <w:rPr>
                <w:rFonts w:ascii="Open Sans" w:hAnsi="Open Sans" w:cs="Open Sans"/>
                <w:b/>
                <w:bCs/>
                <w:sz w:val="20"/>
                <w:szCs w:val="20"/>
                <w:lang w:val="nl-NL"/>
              </w:rPr>
            </w:pPr>
            <w:r>
              <w:rPr>
                <w:rFonts w:ascii="Open Sans" w:hAnsi="Open Sans" w:cs="Open Sans"/>
                <w:b/>
                <w:bCs/>
                <w:sz w:val="20"/>
                <w:szCs w:val="20"/>
                <w:lang w:val="nl-NL"/>
              </w:rPr>
              <w:t xml:space="preserve">Mostly yes.  However, </w:t>
            </w:r>
            <w:r w:rsidR="008E0114">
              <w:rPr>
                <w:rFonts w:ascii="Open Sans" w:hAnsi="Open Sans" w:cs="Open Sans"/>
                <w:b/>
                <w:bCs/>
                <w:sz w:val="20"/>
                <w:szCs w:val="20"/>
                <w:lang w:val="nl-NL"/>
              </w:rPr>
              <w:t>I propose adding guidance on the application of G9.29</w:t>
            </w:r>
            <w:r w:rsidR="006B28FD">
              <w:rPr>
                <w:rFonts w:ascii="Open Sans" w:hAnsi="Open Sans" w:cs="Open Sans"/>
                <w:b/>
                <w:bCs/>
                <w:sz w:val="20"/>
                <w:szCs w:val="20"/>
                <w:lang w:val="nl-NL"/>
              </w:rPr>
              <w:t xml:space="preserve">, on the uniform reporting date.  There needs to be some provisions on the maximum </w:t>
            </w:r>
            <w:r w:rsidR="0098785A">
              <w:rPr>
                <w:rFonts w:ascii="Open Sans" w:hAnsi="Open Sans" w:cs="Open Sans"/>
                <w:b/>
                <w:bCs/>
                <w:sz w:val="20"/>
                <w:szCs w:val="20"/>
                <w:lang w:val="nl-NL"/>
              </w:rPr>
              <w:t xml:space="preserve">acceptable </w:t>
            </w:r>
            <w:r w:rsidR="006B28FD">
              <w:rPr>
                <w:rFonts w:ascii="Open Sans" w:hAnsi="Open Sans" w:cs="Open Sans"/>
                <w:b/>
                <w:bCs/>
                <w:sz w:val="20"/>
                <w:szCs w:val="20"/>
                <w:lang w:val="nl-NL"/>
              </w:rPr>
              <w:t xml:space="preserve">difference between </w:t>
            </w:r>
            <w:r w:rsidR="0098785A">
              <w:rPr>
                <w:rFonts w:ascii="Open Sans" w:hAnsi="Open Sans" w:cs="Open Sans"/>
                <w:b/>
                <w:bCs/>
                <w:sz w:val="20"/>
                <w:szCs w:val="20"/>
                <w:lang w:val="nl-NL"/>
              </w:rPr>
              <w:t xml:space="preserve">the reporting dates, akin to </w:t>
            </w:r>
            <w:r w:rsidR="004063D9">
              <w:rPr>
                <w:rFonts w:ascii="Open Sans" w:hAnsi="Open Sans" w:cs="Open Sans"/>
                <w:b/>
                <w:bCs/>
                <w:sz w:val="20"/>
                <w:szCs w:val="20"/>
                <w:lang w:val="nl-NL"/>
              </w:rPr>
              <w:t>section B.93 of IFRS 10</w:t>
            </w:r>
          </w:p>
          <w:p w14:paraId="2B6BF7F4" w14:textId="77777777" w:rsidR="006B28FD" w:rsidRDefault="004063D9" w:rsidP="004063D9">
            <w:pPr>
              <w:ind w:left="720"/>
              <w:jc w:val="both"/>
              <w:rPr>
                <w:rFonts w:ascii="Helvetica Neue" w:hAnsi="Helvetica Neue"/>
                <w:color w:val="575757"/>
                <w:shd w:val="clear" w:color="auto" w:fill="FFFFFF"/>
              </w:rPr>
            </w:pPr>
            <w:r>
              <w:rPr>
                <w:rFonts w:ascii="Helvetica Neue" w:hAnsi="Helvetica Neue"/>
                <w:color w:val="575757"/>
                <w:shd w:val="clear" w:color="auto" w:fill="FFFFFF"/>
              </w:rPr>
              <w:t>“</w:t>
            </w:r>
            <w:r w:rsidR="006B28FD">
              <w:rPr>
                <w:rFonts w:ascii="Helvetica Neue" w:hAnsi="Helvetica Neue"/>
                <w:color w:val="575757"/>
                <w:shd w:val="clear" w:color="auto" w:fill="FFFFFF"/>
              </w:rPr>
              <w:t>In any case, the difference between the date of the subsidiary’s financial statements and that of the consolidated financial statements shall be no more than three months, and the length of the reporting periods and any difference between the dates of the financial statements shall be the same from period to period.</w:t>
            </w:r>
            <w:r>
              <w:rPr>
                <w:rFonts w:ascii="Helvetica Neue" w:hAnsi="Helvetica Neue"/>
                <w:color w:val="575757"/>
                <w:shd w:val="clear" w:color="auto" w:fill="FFFFFF"/>
              </w:rPr>
              <w:t>”</w:t>
            </w:r>
          </w:p>
          <w:p w14:paraId="6D0D6A90" w14:textId="69B3C3A3" w:rsidR="00ED6D76" w:rsidRPr="00456D34" w:rsidRDefault="00ED6D76" w:rsidP="00ED6D76">
            <w:pPr>
              <w:jc w:val="both"/>
              <w:rPr>
                <w:rFonts w:ascii="Open Sans" w:hAnsi="Open Sans" w:cs="Open Sans"/>
                <w:b/>
                <w:bCs/>
                <w:sz w:val="20"/>
                <w:szCs w:val="20"/>
                <w:lang w:val="nl-NL"/>
              </w:rPr>
            </w:pP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39E78F1A" w:rsidR="008A350D" w:rsidRPr="00EB6705" w:rsidRDefault="00A142B0" w:rsidP="008A350D">
            <w:pPr>
              <w:jc w:val="both"/>
              <w:rPr>
                <w:rFonts w:ascii="Open Sans" w:hAnsi="Open Sans" w:cs="Open Sans"/>
                <w:b/>
                <w:bCs/>
                <w:sz w:val="20"/>
                <w:szCs w:val="20"/>
                <w:lang w:val="nl-NL"/>
              </w:rPr>
            </w:pPr>
            <w:r>
              <w:rPr>
                <w:rFonts w:ascii="Open Sans" w:hAnsi="Open Sans" w:cs="Open Sans"/>
                <w:b/>
                <w:bCs/>
                <w:sz w:val="20"/>
                <w:szCs w:val="20"/>
                <w:lang w:val="nl-NL"/>
              </w:rPr>
              <w:t>Yes and 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40447833" w:rsidR="008A350D" w:rsidRPr="00EB6705" w:rsidRDefault="002264A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95D7F2A" w:rsidR="008A350D" w:rsidRPr="00EB6705" w:rsidRDefault="002264A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E91BE5B" w:rsidR="00D8539B" w:rsidRPr="00EB6705" w:rsidRDefault="002264A6" w:rsidP="00D8539B">
            <w:pPr>
              <w:jc w:val="both"/>
              <w:rPr>
                <w:rFonts w:ascii="Open Sans" w:hAnsi="Open Sans" w:cs="Open Sans"/>
                <w:b/>
                <w:bCs/>
                <w:sz w:val="20"/>
                <w:szCs w:val="20"/>
                <w:lang w:val="en-US"/>
              </w:rPr>
            </w:pPr>
            <w:r>
              <w:rPr>
                <w:rFonts w:ascii="Open Sans" w:hAnsi="Open Sans" w:cs="Open Sans"/>
                <w:b/>
                <w:bCs/>
                <w:sz w:val="20"/>
                <w:szCs w:val="20"/>
                <w:lang w:val="en-US"/>
              </w:rPr>
              <w:t>Yes and 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0F945231" w14:textId="77777777" w:rsidR="00907EE8" w:rsidRDefault="00536F68" w:rsidP="002C5B7D">
            <w:pPr>
              <w:rPr>
                <w:rFonts w:ascii="Open Sans" w:hAnsi="Open Sans" w:cs="Open Sans"/>
                <w:b/>
                <w:bCs/>
                <w:sz w:val="20"/>
                <w:szCs w:val="20"/>
                <w:lang w:val="en-US"/>
              </w:rPr>
            </w:pPr>
            <w:r>
              <w:rPr>
                <w:rFonts w:ascii="Open Sans" w:hAnsi="Open Sans" w:cs="Open Sans"/>
                <w:b/>
                <w:bCs/>
                <w:sz w:val="20"/>
                <w:szCs w:val="20"/>
                <w:lang w:val="en-US"/>
              </w:rPr>
              <w:t>Yes</w:t>
            </w:r>
          </w:p>
          <w:p w14:paraId="2BBA6DB7" w14:textId="77777777" w:rsidR="000D0D50" w:rsidRDefault="002609AA" w:rsidP="002C5B7D">
            <w:pPr>
              <w:rPr>
                <w:rFonts w:ascii="Open Sans" w:hAnsi="Open Sans" w:cs="Open Sans"/>
                <w:b/>
                <w:bCs/>
                <w:sz w:val="20"/>
                <w:szCs w:val="20"/>
                <w:lang w:val="en-US"/>
              </w:rPr>
            </w:pPr>
            <w:r>
              <w:rPr>
                <w:rFonts w:ascii="Open Sans" w:hAnsi="Open Sans" w:cs="Open Sans"/>
                <w:b/>
                <w:bCs/>
                <w:sz w:val="20"/>
                <w:szCs w:val="20"/>
                <w:lang w:val="en-US"/>
              </w:rPr>
              <w:t xml:space="preserve">However, </w:t>
            </w:r>
            <w:r w:rsidR="00536F68">
              <w:rPr>
                <w:rFonts w:ascii="Open Sans" w:hAnsi="Open Sans" w:cs="Open Sans"/>
                <w:b/>
                <w:bCs/>
                <w:sz w:val="20"/>
                <w:szCs w:val="20"/>
                <w:lang w:val="en-US"/>
              </w:rPr>
              <w:t xml:space="preserve">I </w:t>
            </w:r>
            <w:r>
              <w:rPr>
                <w:rFonts w:ascii="Open Sans" w:hAnsi="Open Sans" w:cs="Open Sans"/>
                <w:b/>
                <w:bCs/>
                <w:sz w:val="20"/>
                <w:szCs w:val="20"/>
                <w:lang w:val="en-US"/>
              </w:rPr>
              <w:t xml:space="preserve">propose an amendment to the Implementation Guidance.  </w:t>
            </w:r>
          </w:p>
          <w:p w14:paraId="5ED0A3D0" w14:textId="77777777" w:rsidR="000D0D50" w:rsidRDefault="000D0D50" w:rsidP="000D0D50">
            <w:pPr>
              <w:pStyle w:val="ListParagraph"/>
              <w:numPr>
                <w:ilvl w:val="0"/>
                <w:numId w:val="17"/>
              </w:numPr>
              <w:rPr>
                <w:rFonts w:ascii="Open Sans" w:hAnsi="Open Sans" w:cs="Open Sans"/>
                <w:sz w:val="20"/>
                <w:szCs w:val="20"/>
                <w:lang w:val="en-US"/>
              </w:rPr>
            </w:pPr>
            <w:r w:rsidRPr="000D0D50">
              <w:rPr>
                <w:rFonts w:ascii="Open Sans" w:hAnsi="Open Sans" w:cs="Open Sans"/>
                <w:b/>
                <w:bCs/>
                <w:sz w:val="20"/>
                <w:szCs w:val="20"/>
                <w:lang w:val="en-US"/>
              </w:rPr>
              <w:t xml:space="preserve">The first sentence of </w:t>
            </w:r>
            <w:r w:rsidR="002609AA" w:rsidRPr="000D0D50">
              <w:rPr>
                <w:rFonts w:ascii="Open Sans" w:hAnsi="Open Sans" w:cs="Open Sans"/>
                <w:b/>
                <w:bCs/>
                <w:sz w:val="20"/>
                <w:szCs w:val="20"/>
                <w:lang w:val="en-US"/>
              </w:rPr>
              <w:t>Paragraph IG</w:t>
            </w:r>
            <w:r w:rsidR="00484273" w:rsidRPr="000D0D50">
              <w:rPr>
                <w:rFonts w:ascii="Open Sans" w:hAnsi="Open Sans" w:cs="Open Sans"/>
                <w:b/>
                <w:bCs/>
                <w:sz w:val="20"/>
                <w:szCs w:val="20"/>
                <w:lang w:val="en-US"/>
              </w:rPr>
              <w:t xml:space="preserve">35.7 states: “Faithful </w:t>
            </w:r>
            <w:r w:rsidR="00367E63" w:rsidRPr="000D0D50">
              <w:rPr>
                <w:rFonts w:ascii="Open Sans" w:hAnsi="Open Sans" w:cs="Open Sans"/>
                <w:b/>
                <w:bCs/>
                <w:sz w:val="20"/>
                <w:szCs w:val="20"/>
                <w:lang w:val="en-US"/>
              </w:rPr>
              <w:t>representation</w:t>
            </w:r>
            <w:r w:rsidR="00367E63" w:rsidRPr="000D0D50">
              <w:rPr>
                <w:rFonts w:ascii="Open Sans" w:hAnsi="Open Sans" w:cs="Open Sans"/>
                <w:sz w:val="20"/>
                <w:szCs w:val="20"/>
                <w:lang w:val="en-US"/>
              </w:rPr>
              <w:t xml:space="preserve"> requires the NPO to provide information that is </w:t>
            </w:r>
            <w:r w:rsidRPr="000D0D50">
              <w:rPr>
                <w:rFonts w:ascii="Open Sans" w:hAnsi="Open Sans" w:cs="Open Sans"/>
                <w:sz w:val="20"/>
                <w:szCs w:val="20"/>
                <w:lang w:val="en-US"/>
              </w:rPr>
              <w:t xml:space="preserve">complete, neutral and free from error.”  </w:t>
            </w:r>
          </w:p>
          <w:p w14:paraId="284A6BB2" w14:textId="3583A50B" w:rsidR="00536F68" w:rsidRPr="000D0D50" w:rsidRDefault="000D0D50" w:rsidP="000D0D50">
            <w:pPr>
              <w:pStyle w:val="ListParagraph"/>
              <w:numPr>
                <w:ilvl w:val="0"/>
                <w:numId w:val="17"/>
              </w:numPr>
              <w:rPr>
                <w:rFonts w:ascii="Open Sans" w:hAnsi="Open Sans" w:cs="Open Sans"/>
                <w:sz w:val="20"/>
                <w:szCs w:val="20"/>
                <w:lang w:val="en-US"/>
              </w:rPr>
            </w:pPr>
            <w:r w:rsidRPr="000D0D50">
              <w:rPr>
                <w:rFonts w:ascii="Open Sans" w:hAnsi="Open Sans" w:cs="Open Sans"/>
                <w:sz w:val="20"/>
                <w:szCs w:val="20"/>
                <w:lang w:val="en-US"/>
              </w:rPr>
              <w:t xml:space="preserve">I recommend that it be amended to </w:t>
            </w:r>
            <w:r>
              <w:rPr>
                <w:rFonts w:ascii="Open Sans" w:hAnsi="Open Sans" w:cs="Open Sans"/>
                <w:b/>
                <w:bCs/>
                <w:sz w:val="20"/>
                <w:szCs w:val="20"/>
                <w:lang w:val="en-US"/>
              </w:rPr>
              <w:t>“Faithful representation</w:t>
            </w:r>
            <w:r>
              <w:rPr>
                <w:rFonts w:ascii="Open Sans" w:hAnsi="Open Sans" w:cs="Open Sans"/>
                <w:sz w:val="20"/>
                <w:szCs w:val="20"/>
                <w:lang w:val="en-US"/>
              </w:rPr>
              <w:t xml:space="preserve"> requires the NPO to provide information that is complete, neutral and free from </w:t>
            </w:r>
            <w:r w:rsidRPr="000D0D50">
              <w:rPr>
                <w:rFonts w:ascii="Open Sans" w:hAnsi="Open Sans" w:cs="Open Sans"/>
                <w:b/>
                <w:bCs/>
                <w:color w:val="FF0000"/>
                <w:sz w:val="20"/>
                <w:szCs w:val="20"/>
                <w:u w:val="single"/>
                <w:lang w:val="en-US"/>
              </w:rPr>
              <w:t>material</w:t>
            </w:r>
            <w:r>
              <w:rPr>
                <w:rFonts w:ascii="Open Sans" w:hAnsi="Open Sans" w:cs="Open Sans"/>
                <w:sz w:val="20"/>
                <w:szCs w:val="20"/>
                <w:lang w:val="en-US"/>
              </w:rPr>
              <w:t xml:space="preserve"> error.” </w:t>
            </w:r>
            <w:r w:rsidR="000C342F">
              <w:rPr>
                <w:rFonts w:ascii="Open Sans" w:hAnsi="Open Sans" w:cs="Open Sans"/>
                <w:sz w:val="20"/>
                <w:szCs w:val="20"/>
                <w:lang w:val="en-US"/>
              </w:rPr>
              <w:t>[my stress]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57148D72" w14:textId="77777777" w:rsidR="00907EE8" w:rsidRDefault="00E45740" w:rsidP="002C5B7D">
            <w:pPr>
              <w:rPr>
                <w:rFonts w:ascii="Open Sans" w:hAnsi="Open Sans" w:cs="Open Sans"/>
                <w:b/>
                <w:bCs/>
                <w:sz w:val="20"/>
                <w:szCs w:val="20"/>
                <w:lang w:val="en-US"/>
              </w:rPr>
            </w:pPr>
            <w:r>
              <w:rPr>
                <w:rFonts w:ascii="Open Sans" w:hAnsi="Open Sans" w:cs="Open Sans"/>
                <w:b/>
                <w:bCs/>
                <w:sz w:val="20"/>
                <w:szCs w:val="20"/>
                <w:lang w:val="en-US"/>
              </w:rPr>
              <w:t xml:space="preserve">Mostly yes.  However, my response to question </w:t>
            </w:r>
            <w:r w:rsidR="0046265B">
              <w:rPr>
                <w:rFonts w:ascii="Open Sans" w:hAnsi="Open Sans" w:cs="Open Sans"/>
                <w:b/>
                <w:bCs/>
                <w:sz w:val="20"/>
                <w:szCs w:val="20"/>
                <w:lang w:val="en-US"/>
              </w:rPr>
              <w:t>9</w:t>
            </w:r>
            <w:r>
              <w:rPr>
                <w:rFonts w:ascii="Open Sans" w:hAnsi="Open Sans" w:cs="Open Sans"/>
                <w:b/>
                <w:bCs/>
                <w:sz w:val="20"/>
                <w:szCs w:val="20"/>
                <w:lang w:val="en-US"/>
              </w:rPr>
              <w:t>(a) could apply here</w:t>
            </w:r>
            <w:r w:rsidR="00ED6D76">
              <w:rPr>
                <w:rFonts w:ascii="Open Sans" w:hAnsi="Open Sans" w:cs="Open Sans"/>
                <w:b/>
                <w:bCs/>
                <w:sz w:val="20"/>
                <w:szCs w:val="20"/>
                <w:lang w:val="en-US"/>
              </w:rPr>
              <w:t xml:space="preserve">, as follows: </w:t>
            </w:r>
          </w:p>
          <w:p w14:paraId="238CA438" w14:textId="77777777" w:rsidR="0046265B" w:rsidRDefault="0046265B" w:rsidP="002C5B7D">
            <w:pPr>
              <w:rPr>
                <w:rFonts w:ascii="Open Sans" w:hAnsi="Open Sans" w:cs="Open Sans"/>
                <w:b/>
                <w:bCs/>
                <w:sz w:val="20"/>
                <w:szCs w:val="20"/>
                <w:lang w:val="en-US"/>
              </w:rPr>
            </w:pPr>
          </w:p>
          <w:p w14:paraId="6584C7D7" w14:textId="3F93D289" w:rsidR="0046265B" w:rsidRDefault="0046265B" w:rsidP="0046265B">
            <w:pPr>
              <w:ind w:left="720"/>
              <w:jc w:val="both"/>
              <w:rPr>
                <w:rFonts w:ascii="Open Sans" w:hAnsi="Open Sans" w:cs="Open Sans"/>
                <w:b/>
                <w:bCs/>
                <w:sz w:val="20"/>
                <w:szCs w:val="20"/>
                <w:lang w:val="en-US"/>
              </w:rPr>
            </w:pPr>
            <w:r>
              <w:rPr>
                <w:rFonts w:ascii="Open Sans" w:hAnsi="Open Sans" w:cs="Open Sans"/>
                <w:b/>
                <w:bCs/>
                <w:sz w:val="20"/>
                <w:szCs w:val="20"/>
                <w:lang w:val="en-US"/>
              </w:rPr>
              <w:t>I would strongly encourage (or even require) any NPO that discloses its budgets publicly to present a comparison of budget and actual expenses, in accordance with the requirements of IPSAS 24 (</w:t>
            </w:r>
            <w:r w:rsidRPr="0035418D">
              <w:rPr>
                <w:rFonts w:ascii="Open Sans" w:hAnsi="Open Sans" w:cs="Open Sans"/>
                <w:b/>
                <w:bCs/>
                <w:i/>
                <w:iCs/>
                <w:sz w:val="20"/>
                <w:szCs w:val="20"/>
                <w:lang w:val="en-US"/>
              </w:rPr>
              <w:t>Presentation of Budget Information in Financial Statements</w:t>
            </w:r>
            <w:r>
              <w:rPr>
                <w:rFonts w:ascii="Open Sans" w:hAnsi="Open Sans" w:cs="Open Sans"/>
                <w:b/>
                <w:bCs/>
                <w:sz w:val="20"/>
                <w:szCs w:val="20"/>
                <w:lang w:val="en-US"/>
              </w:rPr>
              <w:t>).</w:t>
            </w:r>
          </w:p>
          <w:p w14:paraId="2ABC9318" w14:textId="4A8320C3" w:rsidR="0046265B" w:rsidRPr="00EB6705" w:rsidRDefault="0046265B" w:rsidP="002C5B7D">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4DCD2985" w:rsidR="00907EE8" w:rsidRPr="00EB6705" w:rsidRDefault="0046265B"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6A8DA404" w:rsidR="002C5B7D" w:rsidRPr="00EB6705" w:rsidRDefault="0046265B" w:rsidP="002C5B7D">
            <w:pPr>
              <w:rPr>
                <w:rFonts w:ascii="Open Sans" w:hAnsi="Open Sans" w:cs="Open Sans"/>
                <w:b/>
                <w:bCs/>
                <w:sz w:val="20"/>
                <w:szCs w:val="20"/>
                <w:lang w:val="en-US"/>
              </w:rPr>
            </w:pPr>
            <w:r>
              <w:rPr>
                <w:rFonts w:ascii="Open Sans" w:hAnsi="Open Sans" w:cs="Open Sans"/>
                <w:b/>
                <w:bCs/>
                <w:sz w:val="20"/>
                <w:szCs w:val="20"/>
                <w:lang w:val="en-US"/>
              </w:rPr>
              <w:t>Yes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44D1" w14:textId="77777777" w:rsidR="000409ED" w:rsidRDefault="000409ED" w:rsidP="009F74AC">
      <w:pPr>
        <w:spacing w:after="0" w:line="240" w:lineRule="auto"/>
      </w:pPr>
      <w:r>
        <w:separator/>
      </w:r>
    </w:p>
  </w:endnote>
  <w:endnote w:type="continuationSeparator" w:id="0">
    <w:p w14:paraId="3377649E" w14:textId="77777777" w:rsidR="000409ED" w:rsidRDefault="000409ED" w:rsidP="009F74AC">
      <w:pPr>
        <w:spacing w:after="0" w:line="240" w:lineRule="auto"/>
      </w:pPr>
      <w:r>
        <w:continuationSeparator/>
      </w:r>
    </w:p>
  </w:endnote>
  <w:endnote w:type="continuationNotice" w:id="1">
    <w:p w14:paraId="0902B25C" w14:textId="77777777" w:rsidR="000409ED" w:rsidRDefault="00040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BB00" w14:textId="77777777" w:rsidR="000409ED" w:rsidRDefault="000409ED" w:rsidP="009F74AC">
      <w:pPr>
        <w:spacing w:after="0" w:line="240" w:lineRule="auto"/>
      </w:pPr>
      <w:r>
        <w:separator/>
      </w:r>
    </w:p>
  </w:footnote>
  <w:footnote w:type="continuationSeparator" w:id="0">
    <w:p w14:paraId="02756B81" w14:textId="77777777" w:rsidR="000409ED" w:rsidRDefault="000409ED" w:rsidP="009F74AC">
      <w:pPr>
        <w:spacing w:after="0" w:line="240" w:lineRule="auto"/>
      </w:pPr>
      <w:r>
        <w:continuationSeparator/>
      </w:r>
    </w:p>
  </w:footnote>
  <w:footnote w:type="continuationNotice" w:id="1">
    <w:p w14:paraId="2892F800" w14:textId="77777777" w:rsidR="000409ED" w:rsidRDefault="00040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AA168A"/>
    <w:multiLevelType w:val="hybridMultilevel"/>
    <w:tmpl w:val="AFDE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50186"/>
    <w:multiLevelType w:val="hybridMultilevel"/>
    <w:tmpl w:val="561848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361">
    <w:abstractNumId w:val="7"/>
  </w:num>
  <w:num w:numId="2" w16cid:durableId="1019308900">
    <w:abstractNumId w:val="3"/>
  </w:num>
  <w:num w:numId="3" w16cid:durableId="1982417194">
    <w:abstractNumId w:val="6"/>
  </w:num>
  <w:num w:numId="4" w16cid:durableId="878979679">
    <w:abstractNumId w:val="15"/>
  </w:num>
  <w:num w:numId="5" w16cid:durableId="26805664">
    <w:abstractNumId w:val="5"/>
  </w:num>
  <w:num w:numId="6" w16cid:durableId="2089964192">
    <w:abstractNumId w:val="17"/>
  </w:num>
  <w:num w:numId="7" w16cid:durableId="491919279">
    <w:abstractNumId w:val="14"/>
  </w:num>
  <w:num w:numId="8" w16cid:durableId="1019964990">
    <w:abstractNumId w:val="12"/>
  </w:num>
  <w:num w:numId="9" w16cid:durableId="1535383072">
    <w:abstractNumId w:val="9"/>
  </w:num>
  <w:num w:numId="10" w16cid:durableId="2037658404">
    <w:abstractNumId w:val="13"/>
  </w:num>
  <w:num w:numId="11" w16cid:durableId="342905721">
    <w:abstractNumId w:val="2"/>
  </w:num>
  <w:num w:numId="12" w16cid:durableId="312611501">
    <w:abstractNumId w:val="8"/>
  </w:num>
  <w:num w:numId="13" w16cid:durableId="1444037998">
    <w:abstractNumId w:val="11"/>
  </w:num>
  <w:num w:numId="14" w16cid:durableId="688067567">
    <w:abstractNumId w:val="1"/>
  </w:num>
  <w:num w:numId="15" w16cid:durableId="182790055">
    <w:abstractNumId w:val="16"/>
  </w:num>
  <w:num w:numId="16" w16cid:durableId="377362034">
    <w:abstractNumId w:val="0"/>
  </w:num>
  <w:num w:numId="17" w16cid:durableId="206987752">
    <w:abstractNumId w:val="4"/>
  </w:num>
  <w:num w:numId="18" w16cid:durableId="133098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016D"/>
    <w:rsid w:val="000409ED"/>
    <w:rsid w:val="000419A1"/>
    <w:rsid w:val="00044CF3"/>
    <w:rsid w:val="00046D9C"/>
    <w:rsid w:val="000554EC"/>
    <w:rsid w:val="00057570"/>
    <w:rsid w:val="0007287A"/>
    <w:rsid w:val="00080D8D"/>
    <w:rsid w:val="00082C3C"/>
    <w:rsid w:val="000A4EAF"/>
    <w:rsid w:val="000A6348"/>
    <w:rsid w:val="000A7174"/>
    <w:rsid w:val="000B0C37"/>
    <w:rsid w:val="000B1B88"/>
    <w:rsid w:val="000B6DE4"/>
    <w:rsid w:val="000C07D4"/>
    <w:rsid w:val="000C342F"/>
    <w:rsid w:val="000C4E37"/>
    <w:rsid w:val="000D0D50"/>
    <w:rsid w:val="000E375C"/>
    <w:rsid w:val="000F7A25"/>
    <w:rsid w:val="001211DC"/>
    <w:rsid w:val="001255FA"/>
    <w:rsid w:val="00126569"/>
    <w:rsid w:val="00153267"/>
    <w:rsid w:val="00162BBE"/>
    <w:rsid w:val="00181523"/>
    <w:rsid w:val="0018299E"/>
    <w:rsid w:val="0018792C"/>
    <w:rsid w:val="001948B2"/>
    <w:rsid w:val="001A12FB"/>
    <w:rsid w:val="001A3801"/>
    <w:rsid w:val="001A4180"/>
    <w:rsid w:val="001A5D87"/>
    <w:rsid w:val="001A7FEC"/>
    <w:rsid w:val="001B6E16"/>
    <w:rsid w:val="001C3A48"/>
    <w:rsid w:val="001D2FA7"/>
    <w:rsid w:val="001E04DA"/>
    <w:rsid w:val="001E6056"/>
    <w:rsid w:val="001F45E4"/>
    <w:rsid w:val="0020106B"/>
    <w:rsid w:val="0020260D"/>
    <w:rsid w:val="00210458"/>
    <w:rsid w:val="002264A6"/>
    <w:rsid w:val="00230842"/>
    <w:rsid w:val="002322C4"/>
    <w:rsid w:val="002379AC"/>
    <w:rsid w:val="002414E0"/>
    <w:rsid w:val="00247337"/>
    <w:rsid w:val="002538DD"/>
    <w:rsid w:val="002609AA"/>
    <w:rsid w:val="00292B2C"/>
    <w:rsid w:val="00297E2C"/>
    <w:rsid w:val="002A167D"/>
    <w:rsid w:val="002A1F4C"/>
    <w:rsid w:val="002B460A"/>
    <w:rsid w:val="002B6584"/>
    <w:rsid w:val="002C0C3F"/>
    <w:rsid w:val="002C5B7D"/>
    <w:rsid w:val="002D3E58"/>
    <w:rsid w:val="002E16CB"/>
    <w:rsid w:val="002E4F95"/>
    <w:rsid w:val="00320F61"/>
    <w:rsid w:val="00326516"/>
    <w:rsid w:val="003325FA"/>
    <w:rsid w:val="00336705"/>
    <w:rsid w:val="0035418D"/>
    <w:rsid w:val="00354A3A"/>
    <w:rsid w:val="00367E63"/>
    <w:rsid w:val="003745FB"/>
    <w:rsid w:val="003755E7"/>
    <w:rsid w:val="003939BC"/>
    <w:rsid w:val="003A0428"/>
    <w:rsid w:val="003A11E8"/>
    <w:rsid w:val="003A1EEF"/>
    <w:rsid w:val="003B33EC"/>
    <w:rsid w:val="003C7B7A"/>
    <w:rsid w:val="003E10EA"/>
    <w:rsid w:val="004063D9"/>
    <w:rsid w:val="00413E15"/>
    <w:rsid w:val="00416D9F"/>
    <w:rsid w:val="00417841"/>
    <w:rsid w:val="004226EA"/>
    <w:rsid w:val="004437B6"/>
    <w:rsid w:val="004441A6"/>
    <w:rsid w:val="00456D34"/>
    <w:rsid w:val="0046265B"/>
    <w:rsid w:val="00463CE5"/>
    <w:rsid w:val="004759D7"/>
    <w:rsid w:val="00480EB8"/>
    <w:rsid w:val="00484273"/>
    <w:rsid w:val="00484CCF"/>
    <w:rsid w:val="004933C9"/>
    <w:rsid w:val="0049597C"/>
    <w:rsid w:val="004A3A1F"/>
    <w:rsid w:val="004E764D"/>
    <w:rsid w:val="00512D54"/>
    <w:rsid w:val="00515388"/>
    <w:rsid w:val="00522012"/>
    <w:rsid w:val="005247D7"/>
    <w:rsid w:val="005266FA"/>
    <w:rsid w:val="0053637E"/>
    <w:rsid w:val="00536F68"/>
    <w:rsid w:val="00546090"/>
    <w:rsid w:val="0054631C"/>
    <w:rsid w:val="005476F2"/>
    <w:rsid w:val="00551FD4"/>
    <w:rsid w:val="0056475E"/>
    <w:rsid w:val="005A718A"/>
    <w:rsid w:val="005B3F30"/>
    <w:rsid w:val="005B6CC3"/>
    <w:rsid w:val="005C792B"/>
    <w:rsid w:val="005D2E4A"/>
    <w:rsid w:val="005D2FF0"/>
    <w:rsid w:val="005E6190"/>
    <w:rsid w:val="005F18AF"/>
    <w:rsid w:val="005F2AA7"/>
    <w:rsid w:val="005F2F75"/>
    <w:rsid w:val="00602785"/>
    <w:rsid w:val="00611507"/>
    <w:rsid w:val="00623B8E"/>
    <w:rsid w:val="006463FF"/>
    <w:rsid w:val="00651710"/>
    <w:rsid w:val="006533DB"/>
    <w:rsid w:val="006677A3"/>
    <w:rsid w:val="00675790"/>
    <w:rsid w:val="0068267D"/>
    <w:rsid w:val="0069165B"/>
    <w:rsid w:val="00692087"/>
    <w:rsid w:val="00694053"/>
    <w:rsid w:val="00696DC5"/>
    <w:rsid w:val="006A4A3D"/>
    <w:rsid w:val="006A4C7A"/>
    <w:rsid w:val="006B28FD"/>
    <w:rsid w:val="006B6418"/>
    <w:rsid w:val="006C21F6"/>
    <w:rsid w:val="006C52E0"/>
    <w:rsid w:val="006C5BCC"/>
    <w:rsid w:val="006D3B0D"/>
    <w:rsid w:val="0070517A"/>
    <w:rsid w:val="007076A7"/>
    <w:rsid w:val="00710CE2"/>
    <w:rsid w:val="00713C32"/>
    <w:rsid w:val="00722D2D"/>
    <w:rsid w:val="007279C0"/>
    <w:rsid w:val="007370DD"/>
    <w:rsid w:val="00756ED6"/>
    <w:rsid w:val="00757A2D"/>
    <w:rsid w:val="0077222F"/>
    <w:rsid w:val="00780BE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4C1F"/>
    <w:rsid w:val="00826B08"/>
    <w:rsid w:val="00841B58"/>
    <w:rsid w:val="00850BFE"/>
    <w:rsid w:val="00860251"/>
    <w:rsid w:val="00865ACC"/>
    <w:rsid w:val="00876D53"/>
    <w:rsid w:val="008A350D"/>
    <w:rsid w:val="008C5782"/>
    <w:rsid w:val="008C6B40"/>
    <w:rsid w:val="008C76B2"/>
    <w:rsid w:val="008C7E48"/>
    <w:rsid w:val="008E0114"/>
    <w:rsid w:val="008F3AAD"/>
    <w:rsid w:val="00907EE8"/>
    <w:rsid w:val="00925D37"/>
    <w:rsid w:val="009313BE"/>
    <w:rsid w:val="00931959"/>
    <w:rsid w:val="00943505"/>
    <w:rsid w:val="00947E53"/>
    <w:rsid w:val="0095564D"/>
    <w:rsid w:val="00956358"/>
    <w:rsid w:val="0095657A"/>
    <w:rsid w:val="00962E82"/>
    <w:rsid w:val="00973D7F"/>
    <w:rsid w:val="0098785A"/>
    <w:rsid w:val="00993FE3"/>
    <w:rsid w:val="0099616F"/>
    <w:rsid w:val="00997746"/>
    <w:rsid w:val="009A11AA"/>
    <w:rsid w:val="009A5255"/>
    <w:rsid w:val="009B0BE0"/>
    <w:rsid w:val="009B3349"/>
    <w:rsid w:val="009C5079"/>
    <w:rsid w:val="009C533A"/>
    <w:rsid w:val="009D2751"/>
    <w:rsid w:val="009D5588"/>
    <w:rsid w:val="009D56E6"/>
    <w:rsid w:val="009D7C93"/>
    <w:rsid w:val="009F30E8"/>
    <w:rsid w:val="009F74AC"/>
    <w:rsid w:val="00A039B2"/>
    <w:rsid w:val="00A07D43"/>
    <w:rsid w:val="00A142B0"/>
    <w:rsid w:val="00A15E58"/>
    <w:rsid w:val="00A17864"/>
    <w:rsid w:val="00A21939"/>
    <w:rsid w:val="00A22952"/>
    <w:rsid w:val="00A276B0"/>
    <w:rsid w:val="00A30143"/>
    <w:rsid w:val="00A5651A"/>
    <w:rsid w:val="00A60258"/>
    <w:rsid w:val="00A63109"/>
    <w:rsid w:val="00A63EF0"/>
    <w:rsid w:val="00A668F6"/>
    <w:rsid w:val="00A67287"/>
    <w:rsid w:val="00A770F0"/>
    <w:rsid w:val="00A7789F"/>
    <w:rsid w:val="00A81C55"/>
    <w:rsid w:val="00A824AB"/>
    <w:rsid w:val="00A96E23"/>
    <w:rsid w:val="00A97EFD"/>
    <w:rsid w:val="00AA0D26"/>
    <w:rsid w:val="00AB5BDD"/>
    <w:rsid w:val="00AC4F2A"/>
    <w:rsid w:val="00AC6610"/>
    <w:rsid w:val="00AD01FF"/>
    <w:rsid w:val="00AF1ABD"/>
    <w:rsid w:val="00B14710"/>
    <w:rsid w:val="00B258B3"/>
    <w:rsid w:val="00B37E8A"/>
    <w:rsid w:val="00B471E4"/>
    <w:rsid w:val="00B54007"/>
    <w:rsid w:val="00B653D9"/>
    <w:rsid w:val="00B738D5"/>
    <w:rsid w:val="00B91FEA"/>
    <w:rsid w:val="00B9467F"/>
    <w:rsid w:val="00BA1536"/>
    <w:rsid w:val="00BA2063"/>
    <w:rsid w:val="00BA32F9"/>
    <w:rsid w:val="00BC4A3B"/>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3AFB"/>
    <w:rsid w:val="00D34209"/>
    <w:rsid w:val="00D44BE7"/>
    <w:rsid w:val="00D60D12"/>
    <w:rsid w:val="00D64F48"/>
    <w:rsid w:val="00D672A7"/>
    <w:rsid w:val="00D72BCC"/>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4F34"/>
    <w:rsid w:val="00E45740"/>
    <w:rsid w:val="00E467F5"/>
    <w:rsid w:val="00E4681B"/>
    <w:rsid w:val="00E60611"/>
    <w:rsid w:val="00E628A8"/>
    <w:rsid w:val="00E63126"/>
    <w:rsid w:val="00E71959"/>
    <w:rsid w:val="00E81315"/>
    <w:rsid w:val="00E97B55"/>
    <w:rsid w:val="00EA3878"/>
    <w:rsid w:val="00EB6705"/>
    <w:rsid w:val="00EB78C2"/>
    <w:rsid w:val="00EC26EB"/>
    <w:rsid w:val="00ED6D76"/>
    <w:rsid w:val="00EE7BF3"/>
    <w:rsid w:val="00EF110B"/>
    <w:rsid w:val="00F14452"/>
    <w:rsid w:val="00F24C90"/>
    <w:rsid w:val="00F3234F"/>
    <w:rsid w:val="00F432A0"/>
    <w:rsid w:val="00F47AC9"/>
    <w:rsid w:val="00F6667F"/>
    <w:rsid w:val="00F73A83"/>
    <w:rsid w:val="00F740AA"/>
    <w:rsid w:val="00F86A59"/>
    <w:rsid w:val="00F9105F"/>
    <w:rsid w:val="00FB43E6"/>
    <w:rsid w:val="00FB6CC9"/>
    <w:rsid w:val="00FC5639"/>
    <w:rsid w:val="00FC5E2D"/>
    <w:rsid w:val="00FC5E5A"/>
    <w:rsid w:val="00FD06CA"/>
    <w:rsid w:val="00FD28E2"/>
    <w:rsid w:val="00FD39F7"/>
    <w:rsid w:val="00FD5DC8"/>
    <w:rsid w:val="00FE02D5"/>
    <w:rsid w:val="00FE0373"/>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erome@gc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3</cp:revision>
  <dcterms:created xsi:type="dcterms:W3CDTF">2023-03-29T14:53:00Z</dcterms:created>
  <dcterms:modified xsi:type="dcterms:W3CDTF">2023-03-29T14:54:00Z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