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AC16B1">
      <w:pPr>
        <w:spacing w:before="120" w:after="120"/>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AC16B1">
      <w:pPr>
        <w:spacing w:before="120" w:after="120"/>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AC16B1">
      <w:pPr>
        <w:spacing w:before="120" w:after="120"/>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AC16B1">
      <w:pPr>
        <w:spacing w:before="120" w:after="120"/>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AC16B1">
      <w:pPr>
        <w:numPr>
          <w:ilvl w:val="0"/>
          <w:numId w:val="13"/>
        </w:numPr>
        <w:spacing w:before="120" w:after="120"/>
        <w:jc w:val="both"/>
        <w:rPr>
          <w:rFonts w:ascii="Open Sans" w:hAnsi="Open Sans" w:cs="Open Sans"/>
          <w:sz w:val="20"/>
          <w:szCs w:val="20"/>
          <w:lang w:val="en-US"/>
        </w:rPr>
      </w:pPr>
      <w:r w:rsidRPr="00EB6705">
        <w:rPr>
          <w:rFonts w:ascii="Open Sans" w:hAnsi="Open Sans" w:cs="Open Sans"/>
          <w:sz w:val="20"/>
          <w:szCs w:val="20"/>
          <w:lang w:val="en-US"/>
        </w:rPr>
        <w:t xml:space="preserve">Address the question </w:t>
      </w:r>
      <w:proofErr w:type="gramStart"/>
      <w:r w:rsidRPr="00EB6705">
        <w:rPr>
          <w:rFonts w:ascii="Open Sans" w:hAnsi="Open Sans" w:cs="Open Sans"/>
          <w:sz w:val="20"/>
          <w:szCs w:val="20"/>
          <w:lang w:val="en-US"/>
        </w:rPr>
        <w:t>asked;</w:t>
      </w:r>
      <w:proofErr w:type="gramEnd"/>
    </w:p>
    <w:p w14:paraId="7475C876" w14:textId="77777777" w:rsidR="00CA5E81" w:rsidRPr="00EB6705" w:rsidRDefault="00CA5E81" w:rsidP="00AC16B1">
      <w:pPr>
        <w:numPr>
          <w:ilvl w:val="0"/>
          <w:numId w:val="13"/>
        </w:numPr>
        <w:spacing w:before="120" w:after="120"/>
        <w:jc w:val="both"/>
        <w:rPr>
          <w:rFonts w:ascii="Open Sans" w:hAnsi="Open Sans" w:cs="Open Sans"/>
          <w:sz w:val="20"/>
          <w:szCs w:val="20"/>
          <w:lang w:val="en-US"/>
        </w:rPr>
      </w:pPr>
      <w:r w:rsidRPr="00EB6705">
        <w:rPr>
          <w:rFonts w:ascii="Open Sans" w:hAnsi="Open Sans" w:cs="Open Sans"/>
          <w:sz w:val="20"/>
          <w:szCs w:val="20"/>
          <w:lang w:val="en-US"/>
        </w:rPr>
        <w:t xml:space="preserve">Contain a clear explanation to support the response provided, whether this is agreeing or otherwise with any proposals </w:t>
      </w:r>
      <w:proofErr w:type="gramStart"/>
      <w:r w:rsidRPr="00EB6705">
        <w:rPr>
          <w:rFonts w:ascii="Open Sans" w:hAnsi="Open Sans" w:cs="Open Sans"/>
          <w:sz w:val="20"/>
          <w:szCs w:val="20"/>
          <w:lang w:val="en-US"/>
        </w:rPr>
        <w:t>made;</w:t>
      </w:r>
      <w:proofErr w:type="gramEnd"/>
    </w:p>
    <w:p w14:paraId="65985E30" w14:textId="77777777" w:rsidR="00CA5E81" w:rsidRPr="00EB6705" w:rsidRDefault="00CA5E81" w:rsidP="00AC16B1">
      <w:pPr>
        <w:numPr>
          <w:ilvl w:val="0"/>
          <w:numId w:val="13"/>
        </w:numPr>
        <w:spacing w:before="120" w:after="120"/>
        <w:jc w:val="both"/>
        <w:rPr>
          <w:rFonts w:ascii="Open Sans" w:hAnsi="Open Sans" w:cs="Open Sans"/>
          <w:sz w:val="20"/>
          <w:szCs w:val="20"/>
          <w:lang w:val="en-US"/>
        </w:rPr>
      </w:pPr>
      <w:r w:rsidRPr="00EB6705">
        <w:rPr>
          <w:rFonts w:ascii="Open Sans" w:hAnsi="Open Sans" w:cs="Open Sans"/>
          <w:sz w:val="20"/>
          <w:szCs w:val="20"/>
          <w:lang w:val="en-US"/>
        </w:rPr>
        <w:t xml:space="preserve">Propose alternatives for consideration, where responses are not in agreement with the proposal </w:t>
      </w:r>
      <w:proofErr w:type="gramStart"/>
      <w:r w:rsidRPr="00EB6705">
        <w:rPr>
          <w:rFonts w:ascii="Open Sans" w:hAnsi="Open Sans" w:cs="Open Sans"/>
          <w:sz w:val="20"/>
          <w:szCs w:val="20"/>
          <w:lang w:val="en-US"/>
        </w:rPr>
        <w:t>made;</w:t>
      </w:r>
      <w:proofErr w:type="gramEnd"/>
    </w:p>
    <w:p w14:paraId="21623314" w14:textId="3CFD718C" w:rsidR="00CA5E81" w:rsidRPr="00EB6705" w:rsidRDefault="00CA5E81" w:rsidP="00AC16B1">
      <w:pPr>
        <w:numPr>
          <w:ilvl w:val="0"/>
          <w:numId w:val="13"/>
        </w:numPr>
        <w:spacing w:before="120" w:after="120"/>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AC16B1">
      <w:pPr>
        <w:numPr>
          <w:ilvl w:val="0"/>
          <w:numId w:val="13"/>
        </w:numPr>
        <w:spacing w:before="120" w:after="120"/>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AC16B1">
      <w:pPr>
        <w:spacing w:before="120" w:after="120"/>
        <w:jc w:val="both"/>
        <w:rPr>
          <w:rFonts w:ascii="Open Sans" w:hAnsi="Open Sans" w:cs="Open Sans"/>
          <w:sz w:val="20"/>
          <w:szCs w:val="20"/>
          <w:lang w:val="en-US"/>
        </w:rPr>
      </w:pPr>
    </w:p>
    <w:p w14:paraId="50E1C8AF" w14:textId="1687D71C" w:rsidR="00082C3C" w:rsidRPr="00EB6705" w:rsidRDefault="000B1B88" w:rsidP="00AC16B1">
      <w:pPr>
        <w:spacing w:before="120" w:after="120"/>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AC16B1">
      <w:pPr>
        <w:spacing w:before="120" w:after="120"/>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AC16B1">
      <w:pPr>
        <w:spacing w:before="120" w:after="120"/>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AC16B1">
      <w:pPr>
        <w:spacing w:before="120" w:after="120"/>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AC16B1">
      <w:pPr>
        <w:spacing w:before="120" w:after="120"/>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rsidP="00AC16B1">
            <w:pPr>
              <w:spacing w:before="120" w:after="120"/>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42010AE7" w:rsidR="00F6667F" w:rsidRPr="00EB6705" w:rsidRDefault="0048731E" w:rsidP="00AC16B1">
            <w:pPr>
              <w:spacing w:before="120" w:after="120"/>
              <w:rPr>
                <w:rFonts w:ascii="Open Sans" w:hAnsi="Open Sans" w:cs="Open Sans"/>
                <w:sz w:val="20"/>
                <w:szCs w:val="20"/>
              </w:rPr>
            </w:pPr>
            <w:r>
              <w:rPr>
                <w:rFonts w:ascii="Open Sans" w:hAnsi="Open Sans" w:cs="Open Sans"/>
                <w:sz w:val="20"/>
                <w:szCs w:val="20"/>
              </w:rPr>
              <w:t>Nicholas</w:t>
            </w:r>
          </w:p>
        </w:tc>
        <w:tc>
          <w:tcPr>
            <w:tcW w:w="5386" w:type="dxa"/>
          </w:tcPr>
          <w:p w14:paraId="20A79987" w14:textId="7DAD67A1" w:rsidR="00F6667F" w:rsidRPr="00EB6705" w:rsidRDefault="00DB7739" w:rsidP="00AC16B1">
            <w:pPr>
              <w:spacing w:before="120" w:after="120"/>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17C6EED1" w:rsidR="00F6667F" w:rsidRPr="00EB6705" w:rsidRDefault="0048731E" w:rsidP="00AC16B1">
            <w:pPr>
              <w:spacing w:before="120" w:after="120"/>
              <w:rPr>
                <w:rFonts w:ascii="Open Sans" w:hAnsi="Open Sans" w:cs="Open Sans"/>
                <w:sz w:val="20"/>
                <w:szCs w:val="20"/>
              </w:rPr>
            </w:pPr>
            <w:r>
              <w:rPr>
                <w:rFonts w:ascii="Open Sans" w:hAnsi="Open Sans" w:cs="Open Sans"/>
                <w:sz w:val="20"/>
                <w:szCs w:val="20"/>
              </w:rPr>
              <w:t>RSM UK</w:t>
            </w:r>
          </w:p>
        </w:tc>
      </w:tr>
      <w:tr w:rsidR="00DB7739" w:rsidRPr="00EB6705" w14:paraId="5517C290" w14:textId="77777777" w:rsidTr="00BA2063">
        <w:tc>
          <w:tcPr>
            <w:tcW w:w="1413" w:type="dxa"/>
          </w:tcPr>
          <w:p w14:paraId="5CE1F7AE" w14:textId="48565488" w:rsidR="00DB7739" w:rsidRDefault="00DB7739" w:rsidP="00AC16B1">
            <w:pPr>
              <w:spacing w:before="120" w:after="120"/>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6A7CA948" w:rsidR="00DB7739" w:rsidRPr="00EB6705" w:rsidRDefault="0048731E" w:rsidP="00AC16B1">
            <w:pPr>
              <w:spacing w:before="120" w:after="120"/>
              <w:rPr>
                <w:rFonts w:ascii="Open Sans" w:hAnsi="Open Sans" w:cs="Open Sans"/>
                <w:sz w:val="20"/>
                <w:szCs w:val="20"/>
              </w:rPr>
            </w:pPr>
            <w:r>
              <w:rPr>
                <w:rFonts w:ascii="Open Sans" w:hAnsi="Open Sans" w:cs="Open Sans"/>
                <w:sz w:val="20"/>
                <w:szCs w:val="20"/>
              </w:rPr>
              <w:t>Sladden</w:t>
            </w:r>
          </w:p>
        </w:tc>
        <w:tc>
          <w:tcPr>
            <w:tcW w:w="5386" w:type="dxa"/>
          </w:tcPr>
          <w:p w14:paraId="0953E1E5" w14:textId="550022F4" w:rsidR="00BA2063" w:rsidRDefault="00DB7739" w:rsidP="00AC16B1">
            <w:pPr>
              <w:spacing w:before="120" w:after="120"/>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AC16B1">
            <w:pPr>
              <w:pStyle w:val="ListParagraph"/>
              <w:numPr>
                <w:ilvl w:val="0"/>
                <w:numId w:val="15"/>
              </w:numPr>
              <w:spacing w:before="120" w:after="120"/>
              <w:contextualSpacing w:val="0"/>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AC16B1">
            <w:pPr>
              <w:pStyle w:val="ListParagraph"/>
              <w:numPr>
                <w:ilvl w:val="0"/>
                <w:numId w:val="15"/>
              </w:numPr>
              <w:spacing w:before="120" w:after="120"/>
              <w:contextualSpacing w:val="0"/>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7F6BDAA1" w:rsidR="00DB7739" w:rsidRPr="00EB6705" w:rsidRDefault="0048731E" w:rsidP="00AC16B1">
            <w:pPr>
              <w:spacing w:before="120" w:after="120"/>
              <w:rPr>
                <w:rFonts w:ascii="Open Sans" w:hAnsi="Open Sans" w:cs="Open Sans"/>
                <w:sz w:val="20"/>
                <w:szCs w:val="20"/>
              </w:rPr>
            </w:pPr>
            <w:r>
              <w:rPr>
                <w:rFonts w:ascii="Open Sans" w:hAnsi="Open Sans" w:cs="Open Sans"/>
                <w:sz w:val="20"/>
                <w:szCs w:val="20"/>
              </w:rPr>
              <w:t>On behalf of my organisation</w:t>
            </w:r>
          </w:p>
        </w:tc>
      </w:tr>
      <w:tr w:rsidR="000C4E37" w:rsidRPr="00EB6705" w14:paraId="63DAEE75" w14:textId="77777777" w:rsidTr="00BA2063">
        <w:tc>
          <w:tcPr>
            <w:tcW w:w="1413" w:type="dxa"/>
          </w:tcPr>
          <w:p w14:paraId="2DC3ABB5" w14:textId="63A99817" w:rsidR="000C4E37" w:rsidRDefault="000C4E37" w:rsidP="00AC16B1">
            <w:pPr>
              <w:spacing w:before="120" w:after="120"/>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06D51921" w:rsidR="000C4E37" w:rsidRDefault="00430F02" w:rsidP="00AC16B1">
            <w:pPr>
              <w:spacing w:before="120" w:after="120"/>
              <w:rPr>
                <w:rFonts w:ascii="Open Sans" w:hAnsi="Open Sans" w:cs="Open Sans"/>
                <w:sz w:val="20"/>
                <w:szCs w:val="20"/>
              </w:rPr>
            </w:pPr>
            <w:hyperlink r:id="rId14" w:history="1">
              <w:r w:rsidR="0048731E" w:rsidRPr="004B1880">
                <w:rPr>
                  <w:rStyle w:val="Hyperlink"/>
                  <w:rFonts w:ascii="Open Sans" w:hAnsi="Open Sans" w:cs="Open Sans"/>
                  <w:sz w:val="20"/>
                  <w:szCs w:val="20"/>
                </w:rPr>
                <w:t>Nick.sladden@rsmuk.com</w:t>
              </w:r>
            </w:hyperlink>
          </w:p>
        </w:tc>
        <w:tc>
          <w:tcPr>
            <w:tcW w:w="5386" w:type="dxa"/>
          </w:tcPr>
          <w:p w14:paraId="600C5610" w14:textId="3A90EDDA" w:rsidR="000C4E37" w:rsidRDefault="000C4E37" w:rsidP="00AC16B1">
            <w:pPr>
              <w:spacing w:before="120" w:after="120"/>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3F3C6EC9" w:rsidR="000C4E37" w:rsidRPr="00EB6705" w:rsidRDefault="0048731E" w:rsidP="00AC16B1">
            <w:pPr>
              <w:spacing w:before="120" w:after="120"/>
              <w:rPr>
                <w:rFonts w:ascii="Open Sans" w:hAnsi="Open Sans" w:cs="Open Sans"/>
                <w:sz w:val="20"/>
                <w:szCs w:val="20"/>
              </w:rPr>
            </w:pPr>
            <w:r>
              <w:rPr>
                <w:rFonts w:ascii="Open Sans" w:hAnsi="Open Sans" w:cs="Open Sans"/>
                <w:sz w:val="20"/>
                <w:szCs w:val="20"/>
              </w:rPr>
              <w:t>UK</w:t>
            </w:r>
          </w:p>
        </w:tc>
      </w:tr>
      <w:tr w:rsidR="000C4E37" w:rsidRPr="00EB6705" w14:paraId="73351CF2" w14:textId="77777777" w:rsidTr="00BA2063">
        <w:tc>
          <w:tcPr>
            <w:tcW w:w="1413" w:type="dxa"/>
          </w:tcPr>
          <w:p w14:paraId="6BE77AEC" w14:textId="5559BDA8" w:rsidR="000C4E37" w:rsidRPr="00EB6705" w:rsidRDefault="000C4E37" w:rsidP="00AC16B1">
            <w:pPr>
              <w:spacing w:before="120" w:after="120"/>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18C92926" w:rsidR="000C4E37" w:rsidRPr="00EB6705" w:rsidRDefault="0048731E" w:rsidP="00AC16B1">
            <w:pPr>
              <w:spacing w:before="120" w:after="120"/>
              <w:rPr>
                <w:rFonts w:ascii="Open Sans" w:hAnsi="Open Sans" w:cs="Open Sans"/>
                <w:sz w:val="20"/>
                <w:szCs w:val="20"/>
              </w:rPr>
            </w:pPr>
            <w:r>
              <w:rPr>
                <w:rFonts w:ascii="Open Sans" w:hAnsi="Open Sans" w:cs="Open Sans"/>
                <w:sz w:val="20"/>
                <w:szCs w:val="20"/>
              </w:rPr>
              <w:t xml:space="preserve">Partner, Head of </w:t>
            </w:r>
            <w:proofErr w:type="gramStart"/>
            <w:r>
              <w:rPr>
                <w:rFonts w:ascii="Open Sans" w:hAnsi="Open Sans" w:cs="Open Sans"/>
                <w:sz w:val="20"/>
                <w:szCs w:val="20"/>
              </w:rPr>
              <w:t>Charities</w:t>
            </w:r>
            <w:proofErr w:type="gramEnd"/>
            <w:r>
              <w:rPr>
                <w:rFonts w:ascii="Open Sans" w:hAnsi="Open Sans" w:cs="Open Sans"/>
                <w:sz w:val="20"/>
                <w:szCs w:val="20"/>
              </w:rPr>
              <w:t xml:space="preserve"> and Independent Schools</w:t>
            </w:r>
          </w:p>
        </w:tc>
        <w:tc>
          <w:tcPr>
            <w:tcW w:w="5386" w:type="dxa"/>
          </w:tcPr>
          <w:p w14:paraId="2D9748C6" w14:textId="77777777" w:rsidR="000C4E37" w:rsidRDefault="000C4E37" w:rsidP="00AC16B1">
            <w:pPr>
              <w:spacing w:before="120" w:after="120"/>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AC16B1">
            <w:pPr>
              <w:pStyle w:val="ListParagraph"/>
              <w:numPr>
                <w:ilvl w:val="0"/>
                <w:numId w:val="16"/>
              </w:numPr>
              <w:spacing w:before="120" w:after="120"/>
              <w:contextualSpacing w:val="0"/>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AC16B1">
            <w:pPr>
              <w:pStyle w:val="ListParagraph"/>
              <w:numPr>
                <w:ilvl w:val="0"/>
                <w:numId w:val="16"/>
              </w:numPr>
              <w:spacing w:before="120" w:after="120"/>
              <w:contextualSpacing w:val="0"/>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AC16B1">
            <w:pPr>
              <w:pStyle w:val="ListParagraph"/>
              <w:numPr>
                <w:ilvl w:val="0"/>
                <w:numId w:val="16"/>
              </w:numPr>
              <w:spacing w:before="120" w:after="120"/>
              <w:contextualSpacing w:val="0"/>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AC16B1">
            <w:pPr>
              <w:pStyle w:val="ListParagraph"/>
              <w:numPr>
                <w:ilvl w:val="0"/>
                <w:numId w:val="16"/>
              </w:numPr>
              <w:spacing w:before="120" w:after="120"/>
              <w:contextualSpacing w:val="0"/>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AC16B1">
            <w:pPr>
              <w:pStyle w:val="ListParagraph"/>
              <w:numPr>
                <w:ilvl w:val="0"/>
                <w:numId w:val="16"/>
              </w:numPr>
              <w:spacing w:before="120" w:after="120"/>
              <w:contextualSpacing w:val="0"/>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AC16B1">
            <w:pPr>
              <w:pStyle w:val="ListParagraph"/>
              <w:numPr>
                <w:ilvl w:val="0"/>
                <w:numId w:val="16"/>
              </w:numPr>
              <w:spacing w:before="120" w:after="120"/>
              <w:contextualSpacing w:val="0"/>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AC16B1">
            <w:pPr>
              <w:pStyle w:val="ListParagraph"/>
              <w:numPr>
                <w:ilvl w:val="0"/>
                <w:numId w:val="16"/>
              </w:numPr>
              <w:spacing w:before="120" w:after="120"/>
              <w:contextualSpacing w:val="0"/>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AC16B1">
            <w:pPr>
              <w:pStyle w:val="ListParagraph"/>
              <w:numPr>
                <w:ilvl w:val="0"/>
                <w:numId w:val="16"/>
              </w:numPr>
              <w:spacing w:before="120" w:after="120"/>
              <w:contextualSpacing w:val="0"/>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AC16B1">
            <w:pPr>
              <w:pStyle w:val="ListParagraph"/>
              <w:numPr>
                <w:ilvl w:val="0"/>
                <w:numId w:val="16"/>
              </w:numPr>
              <w:spacing w:before="120" w:after="120"/>
              <w:contextualSpacing w:val="0"/>
              <w:rPr>
                <w:rFonts w:ascii="Open Sans" w:hAnsi="Open Sans" w:cs="Open Sans"/>
                <w:b/>
                <w:bCs/>
                <w:sz w:val="20"/>
                <w:szCs w:val="20"/>
              </w:rPr>
            </w:pPr>
            <w:r w:rsidRPr="00BA2063">
              <w:rPr>
                <w:rFonts w:ascii="Open Sans" w:hAnsi="Open Sans" w:cs="Open Sans"/>
                <w:sz w:val="20"/>
                <w:szCs w:val="20"/>
              </w:rPr>
              <w:lastRenderedPageBreak/>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AC16B1">
            <w:pPr>
              <w:pStyle w:val="ListParagraph"/>
              <w:numPr>
                <w:ilvl w:val="0"/>
                <w:numId w:val="16"/>
              </w:numPr>
              <w:spacing w:before="120" w:after="120"/>
              <w:contextualSpacing w:val="0"/>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35AE1A56" w14:textId="0D9B4633" w:rsidR="000C4E37" w:rsidRPr="00EB6705" w:rsidRDefault="0048731E" w:rsidP="00AC16B1">
            <w:pPr>
              <w:spacing w:before="120" w:after="120"/>
              <w:rPr>
                <w:rFonts w:ascii="Open Sans" w:hAnsi="Open Sans" w:cs="Open Sans"/>
                <w:sz w:val="20"/>
                <w:szCs w:val="20"/>
              </w:rPr>
            </w:pPr>
            <w:r>
              <w:rPr>
                <w:rFonts w:ascii="Open Sans" w:hAnsi="Open Sans" w:cs="Open Sans"/>
                <w:sz w:val="20"/>
                <w:szCs w:val="20"/>
              </w:rPr>
              <w:lastRenderedPageBreak/>
              <w:t>Auditor</w:t>
            </w:r>
          </w:p>
        </w:tc>
      </w:tr>
    </w:tbl>
    <w:p w14:paraId="6D953DDF" w14:textId="7ABFCBDF" w:rsidR="000C4E37" w:rsidRDefault="000C4E37" w:rsidP="00AC16B1">
      <w:pPr>
        <w:spacing w:before="120" w:after="120"/>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39577F" w14:paraId="4C074F33" w14:textId="77777777" w:rsidTr="00A747AD">
        <w:tc>
          <w:tcPr>
            <w:tcW w:w="4673" w:type="dxa"/>
          </w:tcPr>
          <w:p w14:paraId="16BB45CD" w14:textId="77777777" w:rsidR="006C21F6" w:rsidRPr="0039577F" w:rsidRDefault="006C21F6" w:rsidP="00AC16B1">
            <w:pPr>
              <w:spacing w:before="120" w:after="120"/>
              <w:rPr>
                <w:rFonts w:ascii="Open Sans" w:hAnsi="Open Sans" w:cs="Open Sans"/>
                <w:bCs/>
                <w:color w:val="000000"/>
                <w:sz w:val="20"/>
                <w:szCs w:val="20"/>
              </w:rPr>
            </w:pPr>
            <w:r w:rsidRPr="0039577F">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39577F" w:rsidRDefault="006C21F6" w:rsidP="00AC16B1">
            <w:pPr>
              <w:spacing w:before="120" w:after="120"/>
              <w:rPr>
                <w:rFonts w:ascii="Open Sans" w:hAnsi="Open Sans" w:cs="Open Sans"/>
                <w:b/>
                <w:color w:val="000000"/>
                <w:sz w:val="20"/>
                <w:szCs w:val="20"/>
              </w:rPr>
            </w:pPr>
            <w:r w:rsidRPr="0039577F">
              <w:rPr>
                <w:rFonts w:ascii="Open Sans" w:hAnsi="Open Sans" w:cs="Open Sans"/>
                <w:b/>
                <w:color w:val="000000"/>
                <w:sz w:val="20"/>
                <w:szCs w:val="20"/>
              </w:rPr>
              <w:t>Tick boxes</w:t>
            </w:r>
          </w:p>
          <w:p w14:paraId="04C46612" w14:textId="21238762" w:rsidR="006C21F6" w:rsidRPr="0039577F" w:rsidRDefault="006C21F6" w:rsidP="00AC16B1">
            <w:pPr>
              <w:spacing w:before="120" w:after="120"/>
              <w:rPr>
                <w:rFonts w:ascii="Open Sans" w:hAnsi="Open Sans" w:cs="Open Sans"/>
                <w:bCs/>
                <w:color w:val="000000"/>
                <w:sz w:val="20"/>
                <w:szCs w:val="20"/>
              </w:rPr>
            </w:pPr>
            <w:r w:rsidRPr="0039577F">
              <w:rPr>
                <w:rFonts w:ascii="Open Sans" w:hAnsi="Open Sans" w:cs="Open Sans"/>
                <w:bCs/>
                <w:color w:val="000000"/>
                <w:sz w:val="20"/>
                <w:szCs w:val="20"/>
              </w:rPr>
              <w:t>Agree</w:t>
            </w:r>
            <w:r w:rsidR="0048731E" w:rsidRPr="0039577F">
              <w:rPr>
                <w:rFonts w:ascii="Open Sans" w:hAnsi="Open Sans" w:cs="Open Sans"/>
                <w:bCs/>
                <w:color w:val="000000"/>
                <w:sz w:val="20"/>
                <w:szCs w:val="20"/>
              </w:rPr>
              <w:t xml:space="preserve">          </w:t>
            </w:r>
            <w:r w:rsidR="0048731E" w:rsidRPr="0039577F">
              <w:rPr>
                <w:rFonts w:ascii="Wingdings 2" w:hAnsi="Wingdings 2" w:cs="Open Sans"/>
                <w:b/>
                <w:color w:val="000000"/>
                <w:sz w:val="20"/>
                <w:szCs w:val="20"/>
              </w:rPr>
              <w:t>P</w:t>
            </w:r>
          </w:p>
          <w:p w14:paraId="7D8C6E04" w14:textId="77777777" w:rsidR="006C21F6" w:rsidRPr="0039577F" w:rsidRDefault="006C21F6" w:rsidP="00AC16B1">
            <w:pPr>
              <w:spacing w:before="120" w:after="120"/>
              <w:rPr>
                <w:rFonts w:ascii="Open Sans" w:hAnsi="Open Sans" w:cs="Open Sans"/>
                <w:bCs/>
                <w:color w:val="000000"/>
                <w:sz w:val="20"/>
                <w:szCs w:val="20"/>
              </w:rPr>
            </w:pPr>
          </w:p>
          <w:p w14:paraId="0F659979" w14:textId="77777777" w:rsidR="006C21F6" w:rsidRPr="0039577F" w:rsidRDefault="006C21F6" w:rsidP="00AC16B1">
            <w:pPr>
              <w:spacing w:before="120" w:after="120"/>
              <w:rPr>
                <w:rFonts w:ascii="Open Sans" w:hAnsi="Open Sans" w:cs="Open Sans"/>
                <w:bCs/>
                <w:color w:val="000000"/>
                <w:sz w:val="20"/>
                <w:szCs w:val="20"/>
              </w:rPr>
            </w:pPr>
            <w:r w:rsidRPr="0039577F">
              <w:rPr>
                <w:rFonts w:ascii="Open Sans" w:hAnsi="Open Sans" w:cs="Open Sans"/>
                <w:bCs/>
                <w:color w:val="000000"/>
                <w:sz w:val="20"/>
                <w:szCs w:val="20"/>
              </w:rPr>
              <w:t>Disagree</w:t>
            </w:r>
          </w:p>
          <w:p w14:paraId="47BD80E9" w14:textId="77777777" w:rsidR="006C21F6" w:rsidRPr="0039577F" w:rsidRDefault="006C21F6" w:rsidP="00AC16B1">
            <w:pPr>
              <w:spacing w:before="120" w:after="120"/>
              <w:rPr>
                <w:rFonts w:ascii="Open Sans" w:hAnsi="Open Sans" w:cs="Open Sans"/>
                <w:bCs/>
                <w:color w:val="000000"/>
                <w:sz w:val="20"/>
                <w:szCs w:val="20"/>
              </w:rPr>
            </w:pPr>
          </w:p>
        </w:tc>
      </w:tr>
    </w:tbl>
    <w:p w14:paraId="1D872D42" w14:textId="77777777" w:rsidR="003755E7" w:rsidRPr="0039577F" w:rsidRDefault="003755E7" w:rsidP="00AC16B1">
      <w:pPr>
        <w:spacing w:before="120" w:after="120"/>
        <w:rPr>
          <w:rFonts w:ascii="Open Sans" w:hAnsi="Open Sans" w:cs="Open Sans"/>
          <w:b/>
          <w:bCs/>
          <w:sz w:val="20"/>
          <w:szCs w:val="20"/>
        </w:rPr>
      </w:pPr>
    </w:p>
    <w:p w14:paraId="2AFD1FBA" w14:textId="7C3F7B27" w:rsidR="000C4E37" w:rsidRPr="0039577F" w:rsidRDefault="003755E7" w:rsidP="00AC16B1">
      <w:pPr>
        <w:spacing w:before="120" w:after="120"/>
        <w:rPr>
          <w:rFonts w:cstheme="minorHAnsi"/>
        </w:rPr>
      </w:pPr>
      <w:r w:rsidRPr="0039577F">
        <w:rPr>
          <w:shd w:val="clear" w:color="auto" w:fill="FFFFFF"/>
        </w:rPr>
        <w:t xml:space="preserve">This document has been designed purely to enable feedback to </w:t>
      </w:r>
      <w:r w:rsidR="000A6348" w:rsidRPr="0039577F">
        <w:rPr>
          <w:shd w:val="clear" w:color="auto" w:fill="FFFFFF"/>
        </w:rPr>
        <w:t>Exposure Draft 1</w:t>
      </w:r>
      <w:r w:rsidRPr="0039577F">
        <w:rPr>
          <w:shd w:val="clear" w:color="auto" w:fill="FFFFFF"/>
        </w:rPr>
        <w:t xml:space="preserve">.  </w:t>
      </w:r>
      <w:r w:rsidR="00181523" w:rsidRPr="0039577F">
        <w:rPr>
          <w:shd w:val="clear" w:color="auto" w:fill="FFFFFF"/>
        </w:rPr>
        <w:t xml:space="preserve">Participation is undertaken on an entirely voluntary basis. </w:t>
      </w:r>
      <w:r w:rsidRPr="0039577F">
        <w:rPr>
          <w:shd w:val="clear" w:color="auto" w:fill="FFFFFF"/>
        </w:rPr>
        <w:t xml:space="preserve">The responses will be used to shape the development of </w:t>
      </w:r>
      <w:r w:rsidR="000A6348" w:rsidRPr="0039577F">
        <w:rPr>
          <w:shd w:val="clear" w:color="auto" w:fill="FFFFFF"/>
        </w:rPr>
        <w:t>INPAG</w:t>
      </w:r>
      <w:r w:rsidRPr="0039577F">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sidRPr="0039577F">
        <w:rPr>
          <w:shd w:val="clear" w:color="auto" w:fill="FFFFFF"/>
        </w:rPr>
        <w:t>developing INPAG</w:t>
      </w:r>
      <w:r w:rsidRPr="0039577F">
        <w:rPr>
          <w:shd w:val="clear" w:color="auto" w:fill="FFFFFF"/>
        </w:rPr>
        <w:t>.  You may withdraw your consent for us to hold any of your personal information at any time by contacting us at</w:t>
      </w:r>
      <w:r w:rsidRPr="0039577F">
        <w:rPr>
          <w:color w:val="901D41"/>
          <w:shd w:val="clear" w:color="auto" w:fill="FFFFFF"/>
        </w:rPr>
        <w:t> </w:t>
      </w:r>
      <w:hyperlink r:id="rId15" w:tgtFrame="_blank" w:history="1">
        <w:r w:rsidRPr="0039577F">
          <w:rPr>
            <w:rStyle w:val="Hyperlink"/>
            <w:rFonts w:cstheme="minorHAnsi"/>
            <w:shd w:val="clear" w:color="auto" w:fill="FFFFFF"/>
          </w:rPr>
          <w:t>ifr4npo@cipfa.org</w:t>
        </w:r>
      </w:hyperlink>
      <w:r w:rsidR="000C4E37" w:rsidRPr="0039577F">
        <w:rPr>
          <w:rFonts w:ascii="Open Sans" w:hAnsi="Open Sans" w:cs="Open Sans"/>
          <w:b/>
          <w:bCs/>
          <w:sz w:val="20"/>
          <w:szCs w:val="20"/>
        </w:rPr>
        <w:br w:type="page"/>
      </w:r>
    </w:p>
    <w:p w14:paraId="74083AAC" w14:textId="3715385C" w:rsidR="0002746A" w:rsidRPr="0039577F" w:rsidRDefault="000C4E37" w:rsidP="00AC16B1">
      <w:pPr>
        <w:spacing w:before="120" w:after="120"/>
        <w:rPr>
          <w:rFonts w:ascii="Open Sans" w:hAnsi="Open Sans" w:cs="Open Sans"/>
          <w:b/>
          <w:bCs/>
          <w:sz w:val="20"/>
          <w:szCs w:val="20"/>
        </w:rPr>
      </w:pPr>
      <w:r w:rsidRPr="0039577F">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39577F" w14:paraId="3802E186" w14:textId="77777777" w:rsidTr="007A6029">
        <w:tc>
          <w:tcPr>
            <w:tcW w:w="4388" w:type="dxa"/>
          </w:tcPr>
          <w:p w14:paraId="36C8DDE7" w14:textId="6A31B331" w:rsidR="006C5BCC" w:rsidRPr="0039577F" w:rsidRDefault="006C5BCC" w:rsidP="00AC16B1">
            <w:pPr>
              <w:spacing w:before="120" w:after="120"/>
              <w:jc w:val="both"/>
              <w:rPr>
                <w:rFonts w:ascii="Open Sans" w:hAnsi="Open Sans" w:cs="Open Sans"/>
                <w:b/>
                <w:bCs/>
                <w:sz w:val="20"/>
                <w:szCs w:val="20"/>
                <w:lang w:val="en-US"/>
              </w:rPr>
            </w:pPr>
            <w:r w:rsidRPr="0039577F">
              <w:rPr>
                <w:rFonts w:ascii="Open Sans" w:hAnsi="Open Sans" w:cs="Open Sans"/>
                <w:b/>
                <w:bCs/>
                <w:sz w:val="20"/>
                <w:szCs w:val="20"/>
                <w:lang w:val="en-US"/>
              </w:rPr>
              <w:t>Question 1: General comments</w:t>
            </w:r>
          </w:p>
        </w:tc>
        <w:tc>
          <w:tcPr>
            <w:tcW w:w="9924" w:type="dxa"/>
            <w:gridSpan w:val="2"/>
          </w:tcPr>
          <w:p w14:paraId="38E8048A" w14:textId="42F4C0B0" w:rsidR="006C5BCC" w:rsidRPr="0039577F" w:rsidRDefault="006C5BCC" w:rsidP="00AC16B1">
            <w:pPr>
              <w:spacing w:before="120" w:after="120"/>
              <w:jc w:val="both"/>
              <w:rPr>
                <w:rFonts w:ascii="Open Sans" w:hAnsi="Open Sans" w:cs="Open Sans"/>
                <w:b/>
                <w:bCs/>
                <w:sz w:val="20"/>
                <w:szCs w:val="20"/>
                <w:lang w:val="en-US"/>
              </w:rPr>
            </w:pPr>
            <w:r w:rsidRPr="0039577F">
              <w:rPr>
                <w:rFonts w:ascii="Open Sans" w:hAnsi="Open Sans" w:cs="Open Sans"/>
                <w:sz w:val="20"/>
                <w:szCs w:val="20"/>
              </w:rPr>
              <w:t>The Guidance is split into Sections that mirror the structure</w:t>
            </w:r>
            <w:r w:rsidRPr="0039577F">
              <w:rPr>
                <w:rFonts w:ascii="Open Sans" w:hAnsi="Open Sans" w:cs="Open Sans"/>
                <w:spacing w:val="-1"/>
                <w:sz w:val="20"/>
                <w:szCs w:val="20"/>
              </w:rPr>
              <w:t xml:space="preserve"> </w:t>
            </w:r>
            <w:r w:rsidRPr="0039577F">
              <w:rPr>
                <w:rFonts w:ascii="Open Sans" w:hAnsi="Open Sans" w:cs="Open Sans"/>
                <w:sz w:val="20"/>
                <w:szCs w:val="20"/>
              </w:rPr>
              <w:t xml:space="preserve">of the </w:t>
            </w:r>
            <w:r w:rsidRPr="0039577F">
              <w:rPr>
                <w:rFonts w:ascii="Open Sans" w:hAnsi="Open Sans" w:cs="Open Sans"/>
                <w:i/>
                <w:iCs/>
                <w:sz w:val="20"/>
                <w:szCs w:val="20"/>
              </w:rPr>
              <w:t>IFRS for SMEs</w:t>
            </w:r>
            <w:r w:rsidRPr="0039577F">
              <w:rPr>
                <w:rFonts w:ascii="Open Sans" w:hAnsi="Open Sans" w:cs="Open Sans"/>
                <w:sz w:val="20"/>
                <w:szCs w:val="20"/>
              </w:rPr>
              <w:t xml:space="preserve"> Accounting Standard. </w:t>
            </w:r>
            <w:r w:rsidR="001B6E16" w:rsidRPr="0039577F">
              <w:rPr>
                <w:rFonts w:ascii="Open Sans" w:hAnsi="Open Sans" w:cs="Open Sans"/>
                <w:sz w:val="20"/>
                <w:szCs w:val="20"/>
              </w:rPr>
              <w:t>INPAG has 3 volumes</w:t>
            </w:r>
            <w:r w:rsidR="00546090" w:rsidRPr="0039577F">
              <w:rPr>
                <w:rFonts w:ascii="Open Sans" w:hAnsi="Open Sans" w:cs="Open Sans"/>
                <w:sz w:val="20"/>
                <w:szCs w:val="20"/>
              </w:rPr>
              <w:t xml:space="preserve">; </w:t>
            </w:r>
            <w:r w:rsidR="00BD09CA" w:rsidRPr="0039577F">
              <w:rPr>
                <w:rFonts w:ascii="Open Sans" w:hAnsi="Open Sans" w:cs="Open Sans"/>
                <w:sz w:val="20"/>
                <w:szCs w:val="20"/>
              </w:rPr>
              <w:t xml:space="preserve">(i) </w:t>
            </w:r>
            <w:r w:rsidR="00546090" w:rsidRPr="0039577F">
              <w:rPr>
                <w:rFonts w:ascii="Open Sans" w:hAnsi="Open Sans" w:cs="Open Sans"/>
                <w:sz w:val="20"/>
                <w:szCs w:val="20"/>
              </w:rPr>
              <w:t>authoritative guidance</w:t>
            </w:r>
            <w:r w:rsidR="00BD09CA" w:rsidRPr="0039577F">
              <w:rPr>
                <w:rFonts w:ascii="Open Sans" w:hAnsi="Open Sans" w:cs="Open Sans"/>
                <w:sz w:val="20"/>
                <w:szCs w:val="20"/>
              </w:rPr>
              <w:t xml:space="preserve"> (G) and application guidance (AG)</w:t>
            </w:r>
            <w:r w:rsidR="00A07D43" w:rsidRPr="0039577F">
              <w:rPr>
                <w:rFonts w:ascii="Open Sans" w:hAnsi="Open Sans" w:cs="Open Sans"/>
                <w:sz w:val="20"/>
                <w:szCs w:val="20"/>
              </w:rPr>
              <w:t>,</w:t>
            </w:r>
            <w:r w:rsidR="00546090" w:rsidRPr="0039577F">
              <w:rPr>
                <w:rFonts w:ascii="Open Sans" w:hAnsi="Open Sans" w:cs="Open Sans"/>
                <w:sz w:val="20"/>
                <w:szCs w:val="20"/>
              </w:rPr>
              <w:t xml:space="preserve"> </w:t>
            </w:r>
            <w:r w:rsidR="00BD09CA" w:rsidRPr="0039577F">
              <w:rPr>
                <w:rFonts w:ascii="Open Sans" w:hAnsi="Open Sans" w:cs="Open Sans"/>
                <w:sz w:val="20"/>
                <w:szCs w:val="20"/>
              </w:rPr>
              <w:t xml:space="preserve">(ii) </w:t>
            </w:r>
            <w:r w:rsidR="00546090" w:rsidRPr="0039577F">
              <w:rPr>
                <w:rFonts w:ascii="Open Sans" w:hAnsi="Open Sans" w:cs="Open Sans"/>
                <w:sz w:val="20"/>
                <w:szCs w:val="20"/>
              </w:rPr>
              <w:t>a basis for conclusion that explains the reasons for the approach taken</w:t>
            </w:r>
            <w:r w:rsidR="00512D54" w:rsidRPr="0039577F">
              <w:rPr>
                <w:rFonts w:ascii="Open Sans" w:hAnsi="Open Sans" w:cs="Open Sans"/>
                <w:sz w:val="20"/>
                <w:szCs w:val="20"/>
              </w:rPr>
              <w:t xml:space="preserve"> (BC)</w:t>
            </w:r>
            <w:r w:rsidR="00546090" w:rsidRPr="0039577F">
              <w:rPr>
                <w:rFonts w:ascii="Open Sans" w:hAnsi="Open Sans" w:cs="Open Sans"/>
                <w:sz w:val="20"/>
                <w:szCs w:val="20"/>
              </w:rPr>
              <w:t xml:space="preserve"> and </w:t>
            </w:r>
            <w:r w:rsidR="00BD09CA" w:rsidRPr="0039577F">
              <w:rPr>
                <w:rFonts w:ascii="Open Sans" w:hAnsi="Open Sans" w:cs="Open Sans"/>
                <w:sz w:val="20"/>
                <w:szCs w:val="20"/>
              </w:rPr>
              <w:t xml:space="preserve">(iii) </w:t>
            </w:r>
            <w:r w:rsidR="00546090" w:rsidRPr="0039577F">
              <w:rPr>
                <w:rFonts w:ascii="Open Sans" w:hAnsi="Open Sans" w:cs="Open Sans"/>
                <w:sz w:val="20"/>
                <w:szCs w:val="20"/>
              </w:rPr>
              <w:t>non-authoritative implementation guidance</w:t>
            </w:r>
            <w:r w:rsidR="00512D54" w:rsidRPr="0039577F">
              <w:rPr>
                <w:rFonts w:ascii="Open Sans" w:hAnsi="Open Sans" w:cs="Open Sans"/>
                <w:sz w:val="20"/>
                <w:szCs w:val="20"/>
              </w:rPr>
              <w:t xml:space="preserve"> (IG)</w:t>
            </w:r>
            <w:r w:rsidRPr="0039577F">
              <w:rPr>
                <w:rFonts w:ascii="Open Sans" w:hAnsi="Open Sans" w:cs="Open Sans"/>
                <w:sz w:val="20"/>
                <w:szCs w:val="20"/>
              </w:rPr>
              <w:t>.</w:t>
            </w:r>
          </w:p>
        </w:tc>
      </w:tr>
      <w:tr w:rsidR="00C448D7" w:rsidRPr="0039577F" w14:paraId="39A24FA4" w14:textId="77777777" w:rsidTr="00D90216">
        <w:trPr>
          <w:trHeight w:val="510"/>
        </w:trPr>
        <w:tc>
          <w:tcPr>
            <w:tcW w:w="4388" w:type="dxa"/>
          </w:tcPr>
          <w:p w14:paraId="53C6EC36" w14:textId="77777777" w:rsidR="00C448D7" w:rsidRPr="0039577F" w:rsidRDefault="00C448D7" w:rsidP="00AC16B1">
            <w:pPr>
              <w:spacing w:before="120" w:after="120"/>
              <w:jc w:val="both"/>
              <w:rPr>
                <w:rFonts w:ascii="Open Sans" w:hAnsi="Open Sans" w:cs="Open Sans"/>
                <w:b/>
                <w:bCs/>
                <w:sz w:val="20"/>
                <w:szCs w:val="20"/>
                <w:lang w:val="en-US"/>
              </w:rPr>
            </w:pPr>
          </w:p>
        </w:tc>
        <w:tc>
          <w:tcPr>
            <w:tcW w:w="1642" w:type="dxa"/>
            <w:vAlign w:val="center"/>
          </w:tcPr>
          <w:p w14:paraId="1160A49E" w14:textId="3C03E65B" w:rsidR="00C448D7" w:rsidRPr="0039577F" w:rsidRDefault="00C448D7"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References</w:t>
            </w:r>
          </w:p>
        </w:tc>
        <w:tc>
          <w:tcPr>
            <w:tcW w:w="8282" w:type="dxa"/>
            <w:vAlign w:val="center"/>
          </w:tcPr>
          <w:p w14:paraId="43980270" w14:textId="56675D1C" w:rsidR="00C448D7" w:rsidRPr="0039577F" w:rsidRDefault="00C448D7"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Response</w:t>
            </w:r>
          </w:p>
        </w:tc>
      </w:tr>
      <w:tr w:rsidR="00A7789F" w:rsidRPr="0039577F" w14:paraId="4B034D62" w14:textId="75C9EF64" w:rsidTr="00710CE2">
        <w:tc>
          <w:tcPr>
            <w:tcW w:w="4388" w:type="dxa"/>
            <w:tcBorders>
              <w:bottom w:val="single" w:sz="4" w:space="0" w:color="auto"/>
            </w:tcBorders>
          </w:tcPr>
          <w:p w14:paraId="08C364EB" w14:textId="037A7DBE" w:rsidR="00A7789F" w:rsidRPr="0039577F" w:rsidRDefault="00A7789F" w:rsidP="00AC16B1">
            <w:pPr>
              <w:numPr>
                <w:ilvl w:val="0"/>
                <w:numId w:val="9"/>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39577F" w:rsidRDefault="00A7789F" w:rsidP="00AC16B1">
            <w:pPr>
              <w:spacing w:before="120" w:after="120"/>
              <w:jc w:val="both"/>
              <w:rPr>
                <w:rFonts w:ascii="Open Sans" w:hAnsi="Open Sans" w:cs="Open Sans"/>
                <w:sz w:val="20"/>
                <w:szCs w:val="20"/>
                <w:lang w:val="en-US"/>
              </w:rPr>
            </w:pPr>
            <w:r w:rsidRPr="0039577F">
              <w:rPr>
                <w:rFonts w:ascii="Open Sans" w:hAnsi="Open Sans" w:cs="Open Sans"/>
                <w:sz w:val="20"/>
                <w:szCs w:val="20"/>
                <w:lang w:val="en-US"/>
              </w:rPr>
              <w:t>GP22-GP24</w:t>
            </w:r>
          </w:p>
        </w:tc>
        <w:tc>
          <w:tcPr>
            <w:tcW w:w="8282" w:type="dxa"/>
            <w:tcBorders>
              <w:bottom w:val="single" w:sz="4" w:space="0" w:color="auto"/>
            </w:tcBorders>
          </w:tcPr>
          <w:p w14:paraId="5EF1D752" w14:textId="0ACC2472" w:rsidR="00A7789F" w:rsidRPr="0039577F" w:rsidRDefault="005455C0" w:rsidP="00AC16B1">
            <w:pPr>
              <w:spacing w:before="120" w:after="120"/>
              <w:jc w:val="both"/>
              <w:rPr>
                <w:rFonts w:ascii="Open Sans" w:hAnsi="Open Sans" w:cs="Open Sans"/>
                <w:sz w:val="20"/>
                <w:szCs w:val="20"/>
                <w:lang w:val="en-US"/>
              </w:rPr>
            </w:pPr>
            <w:r w:rsidRPr="0039577F">
              <w:rPr>
                <w:rFonts w:ascii="Open Sans" w:hAnsi="Open Sans" w:cs="Open Sans"/>
                <w:sz w:val="20"/>
                <w:szCs w:val="20"/>
                <w:lang w:val="en-US"/>
              </w:rPr>
              <w:t xml:space="preserve">Yes. No further comments. </w:t>
            </w:r>
          </w:p>
        </w:tc>
      </w:tr>
      <w:tr w:rsidR="00623B8E" w:rsidRPr="0039577F" w14:paraId="403C1148" w14:textId="77777777" w:rsidTr="00710CE2">
        <w:tc>
          <w:tcPr>
            <w:tcW w:w="4388" w:type="dxa"/>
            <w:tcBorders>
              <w:top w:val="single" w:sz="4" w:space="0" w:color="auto"/>
            </w:tcBorders>
          </w:tcPr>
          <w:p w14:paraId="3433F775" w14:textId="29C71D49" w:rsidR="00623B8E" w:rsidRPr="0039577F" w:rsidRDefault="00623B8E" w:rsidP="00AC16B1">
            <w:pPr>
              <w:pStyle w:val="ListParagraph"/>
              <w:numPr>
                <w:ilvl w:val="0"/>
                <w:numId w:val="9"/>
              </w:numPr>
              <w:spacing w:before="120" w:after="120"/>
              <w:ind w:left="318"/>
              <w:contextualSpacing w:val="0"/>
              <w:jc w:val="both"/>
              <w:rPr>
                <w:rFonts w:ascii="Open Sans" w:hAnsi="Open Sans" w:cs="Open Sans"/>
                <w:sz w:val="20"/>
                <w:szCs w:val="20"/>
                <w:lang w:val="en-US"/>
              </w:rPr>
            </w:pPr>
            <w:r w:rsidRPr="0039577F">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39577F" w:rsidRDefault="00623B8E" w:rsidP="00AC16B1">
            <w:pPr>
              <w:spacing w:before="120" w:after="120"/>
              <w:jc w:val="both"/>
              <w:rPr>
                <w:rFonts w:ascii="Open Sans" w:hAnsi="Open Sans" w:cs="Open Sans"/>
                <w:sz w:val="20"/>
                <w:szCs w:val="20"/>
                <w:lang w:val="en-US"/>
              </w:rPr>
            </w:pPr>
          </w:p>
        </w:tc>
        <w:tc>
          <w:tcPr>
            <w:tcW w:w="8282" w:type="dxa"/>
            <w:tcBorders>
              <w:top w:val="single" w:sz="4" w:space="0" w:color="auto"/>
            </w:tcBorders>
          </w:tcPr>
          <w:p w14:paraId="1B6D03EB" w14:textId="516E458B" w:rsidR="00623B8E" w:rsidRPr="0039577F" w:rsidRDefault="00CE3F32" w:rsidP="00AC16B1">
            <w:pPr>
              <w:spacing w:before="120" w:after="120"/>
              <w:jc w:val="both"/>
              <w:rPr>
                <w:rFonts w:ascii="Open Sans" w:hAnsi="Open Sans" w:cs="Open Sans"/>
                <w:sz w:val="20"/>
                <w:szCs w:val="20"/>
                <w:lang w:val="en-US"/>
              </w:rPr>
            </w:pPr>
            <w:r w:rsidRPr="0039577F">
              <w:rPr>
                <w:rFonts w:ascii="Open Sans" w:hAnsi="Open Sans" w:cs="Open Sans"/>
                <w:sz w:val="20"/>
                <w:szCs w:val="20"/>
                <w:lang w:val="en-US"/>
              </w:rPr>
              <w:t xml:space="preserve">In drafting the INPAG guidance, we are unsure whether the proposed changes to the IFRS for SMEs standard in the September 2022 exposure draft has been </w:t>
            </w:r>
            <w:proofErr w:type="gramStart"/>
            <w:r w:rsidRPr="0039577F">
              <w:rPr>
                <w:rFonts w:ascii="Open Sans" w:hAnsi="Open Sans" w:cs="Open Sans"/>
                <w:sz w:val="20"/>
                <w:szCs w:val="20"/>
                <w:lang w:val="en-US"/>
              </w:rPr>
              <w:t>taken into account</w:t>
            </w:r>
            <w:proofErr w:type="gramEnd"/>
            <w:r w:rsidRPr="0039577F">
              <w:rPr>
                <w:rFonts w:ascii="Open Sans" w:hAnsi="Open Sans" w:cs="Open Sans"/>
                <w:sz w:val="20"/>
                <w:szCs w:val="20"/>
                <w:lang w:val="en-US"/>
              </w:rPr>
              <w:t xml:space="preserve">. </w:t>
            </w:r>
            <w:r w:rsidR="005455C0" w:rsidRPr="0039577F">
              <w:rPr>
                <w:rFonts w:ascii="Open Sans" w:hAnsi="Open Sans" w:cs="Open Sans"/>
                <w:sz w:val="20"/>
                <w:szCs w:val="20"/>
                <w:lang w:val="en-US"/>
              </w:rPr>
              <w:t xml:space="preserve"> </w:t>
            </w:r>
            <w:r w:rsidRPr="0039577F">
              <w:rPr>
                <w:rFonts w:ascii="Open Sans" w:hAnsi="Open Sans" w:cs="Open Sans"/>
                <w:sz w:val="20"/>
                <w:szCs w:val="20"/>
                <w:lang w:val="en-US"/>
              </w:rPr>
              <w:t xml:space="preserve">If this is not the case, there is a risk that when the INPAG standards are issued, there is divergence from the IFRS for SMEs standard applicable which may cause confusion in the application of INPAG. </w:t>
            </w:r>
          </w:p>
        </w:tc>
      </w:tr>
    </w:tbl>
    <w:p w14:paraId="1ED70011" w14:textId="557E99A7" w:rsidR="00A276B0" w:rsidRPr="0039577F" w:rsidRDefault="00A276B0" w:rsidP="00AC16B1">
      <w:pPr>
        <w:spacing w:before="120" w:after="120"/>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39577F" w14:paraId="3FC73F77" w14:textId="77777777" w:rsidTr="00B14710">
        <w:tc>
          <w:tcPr>
            <w:tcW w:w="4349" w:type="dxa"/>
          </w:tcPr>
          <w:p w14:paraId="141436C0" w14:textId="180B4579" w:rsidR="00B14710" w:rsidRPr="0039577F" w:rsidRDefault="00B14710"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39577F" w:rsidRDefault="00B14710" w:rsidP="00AC16B1">
            <w:pPr>
              <w:pStyle w:val="TableParagraph"/>
              <w:spacing w:before="120" w:after="120"/>
              <w:ind w:left="0"/>
              <w:rPr>
                <w:rFonts w:ascii="Open Sans" w:hAnsi="Open Sans" w:cs="Open Sans"/>
                <w:sz w:val="20"/>
                <w:szCs w:val="20"/>
              </w:rPr>
            </w:pPr>
            <w:r w:rsidRPr="0039577F">
              <w:rPr>
                <w:rFonts w:ascii="Open Sans" w:hAnsi="Open Sans" w:cs="Open Sans"/>
                <w:sz w:val="20"/>
                <w:szCs w:val="20"/>
              </w:rPr>
              <w:t xml:space="preserve">This Section sets out a broad characteristics approach to identifying those entities to whom INPAG might apply. </w:t>
            </w:r>
            <w:r w:rsidRPr="0039577F">
              <w:rPr>
                <w:rFonts w:ascii="Open Sans" w:hAnsi="Open Sans" w:cs="Open Sans"/>
                <w:spacing w:val="-2"/>
                <w:w w:val="105"/>
                <w:sz w:val="20"/>
                <w:szCs w:val="20"/>
              </w:rPr>
              <w:t>This</w:t>
            </w:r>
            <w:r w:rsidRPr="0039577F">
              <w:rPr>
                <w:rFonts w:ascii="Open Sans" w:hAnsi="Open Sans" w:cs="Open Sans"/>
                <w:spacing w:val="-9"/>
                <w:w w:val="105"/>
                <w:sz w:val="20"/>
                <w:szCs w:val="20"/>
              </w:rPr>
              <w:t xml:space="preserve"> </w:t>
            </w:r>
            <w:r w:rsidRPr="0039577F">
              <w:rPr>
                <w:rFonts w:ascii="Open Sans" w:hAnsi="Open Sans" w:cs="Open Sans"/>
                <w:spacing w:val="-2"/>
                <w:w w:val="105"/>
                <w:sz w:val="20"/>
                <w:szCs w:val="20"/>
              </w:rPr>
              <w:t>descriptive</w:t>
            </w:r>
            <w:r w:rsidRPr="0039577F">
              <w:rPr>
                <w:rFonts w:ascii="Open Sans" w:hAnsi="Open Sans" w:cs="Open Sans"/>
                <w:spacing w:val="-10"/>
                <w:w w:val="105"/>
                <w:sz w:val="20"/>
                <w:szCs w:val="20"/>
              </w:rPr>
              <w:t xml:space="preserve"> </w:t>
            </w:r>
            <w:r w:rsidRPr="0039577F">
              <w:rPr>
                <w:rFonts w:ascii="Open Sans" w:hAnsi="Open Sans" w:cs="Open Sans"/>
                <w:spacing w:val="-2"/>
                <w:w w:val="105"/>
                <w:sz w:val="20"/>
                <w:szCs w:val="20"/>
              </w:rPr>
              <w:t>approach</w:t>
            </w:r>
            <w:r w:rsidRPr="0039577F">
              <w:rPr>
                <w:rFonts w:ascii="Open Sans" w:hAnsi="Open Sans" w:cs="Open Sans"/>
                <w:spacing w:val="-9"/>
                <w:w w:val="105"/>
                <w:sz w:val="20"/>
                <w:szCs w:val="20"/>
              </w:rPr>
              <w:t xml:space="preserve"> </w:t>
            </w:r>
            <w:r w:rsidRPr="0039577F">
              <w:rPr>
                <w:rFonts w:ascii="Open Sans" w:hAnsi="Open Sans" w:cs="Open Sans"/>
                <w:spacing w:val="-2"/>
                <w:w w:val="105"/>
                <w:sz w:val="20"/>
                <w:szCs w:val="20"/>
              </w:rPr>
              <w:t>is</w:t>
            </w:r>
            <w:r w:rsidRPr="0039577F">
              <w:rPr>
                <w:rFonts w:ascii="Open Sans" w:hAnsi="Open Sans" w:cs="Open Sans"/>
                <w:spacing w:val="-9"/>
                <w:w w:val="105"/>
                <w:sz w:val="20"/>
                <w:szCs w:val="20"/>
              </w:rPr>
              <w:t xml:space="preserve"> </w:t>
            </w:r>
            <w:r w:rsidRPr="0039577F">
              <w:rPr>
                <w:rFonts w:ascii="Open Sans" w:hAnsi="Open Sans" w:cs="Open Sans"/>
                <w:spacing w:val="-2"/>
                <w:w w:val="105"/>
                <w:sz w:val="20"/>
                <w:szCs w:val="20"/>
              </w:rPr>
              <w:t>used</w:t>
            </w:r>
            <w:r w:rsidRPr="0039577F">
              <w:rPr>
                <w:rFonts w:ascii="Open Sans" w:hAnsi="Open Sans" w:cs="Open Sans"/>
                <w:spacing w:val="-10"/>
                <w:w w:val="105"/>
                <w:sz w:val="20"/>
                <w:szCs w:val="20"/>
              </w:rPr>
              <w:t xml:space="preserve"> </w:t>
            </w:r>
            <w:r w:rsidRPr="0039577F">
              <w:rPr>
                <w:rFonts w:ascii="Open Sans" w:hAnsi="Open Sans" w:cs="Open Sans"/>
                <w:spacing w:val="-2"/>
                <w:w w:val="105"/>
                <w:sz w:val="20"/>
                <w:szCs w:val="20"/>
              </w:rPr>
              <w:t>rather</w:t>
            </w:r>
            <w:r w:rsidRPr="0039577F">
              <w:rPr>
                <w:rFonts w:ascii="Open Sans" w:hAnsi="Open Sans" w:cs="Open Sans"/>
                <w:spacing w:val="-10"/>
                <w:w w:val="105"/>
                <w:sz w:val="20"/>
                <w:szCs w:val="20"/>
              </w:rPr>
              <w:t xml:space="preserve"> </w:t>
            </w:r>
            <w:r w:rsidRPr="0039577F">
              <w:rPr>
                <w:rFonts w:ascii="Open Sans" w:hAnsi="Open Sans" w:cs="Open Sans"/>
                <w:spacing w:val="-2"/>
                <w:w w:val="105"/>
                <w:sz w:val="20"/>
                <w:szCs w:val="20"/>
              </w:rPr>
              <w:t>than</w:t>
            </w:r>
            <w:r w:rsidRPr="0039577F">
              <w:rPr>
                <w:rFonts w:ascii="Open Sans" w:hAnsi="Open Sans" w:cs="Open Sans"/>
                <w:spacing w:val="-9"/>
                <w:w w:val="105"/>
                <w:sz w:val="20"/>
                <w:szCs w:val="20"/>
              </w:rPr>
              <w:t xml:space="preserve"> </w:t>
            </w:r>
            <w:r w:rsidRPr="0039577F">
              <w:rPr>
                <w:rFonts w:ascii="Open Sans" w:hAnsi="Open Sans" w:cs="Open Sans"/>
                <w:spacing w:val="-2"/>
                <w:w w:val="105"/>
                <w:sz w:val="20"/>
                <w:szCs w:val="20"/>
              </w:rPr>
              <w:t>a</w:t>
            </w:r>
            <w:r w:rsidRPr="0039577F">
              <w:rPr>
                <w:rFonts w:ascii="Open Sans" w:hAnsi="Open Sans" w:cs="Open Sans"/>
                <w:spacing w:val="-8"/>
                <w:w w:val="105"/>
                <w:sz w:val="20"/>
                <w:szCs w:val="20"/>
              </w:rPr>
              <w:t xml:space="preserve"> </w:t>
            </w:r>
            <w:r w:rsidRPr="0039577F">
              <w:rPr>
                <w:rFonts w:ascii="Open Sans" w:hAnsi="Open Sans" w:cs="Open Sans"/>
                <w:spacing w:val="-2"/>
                <w:w w:val="105"/>
                <w:sz w:val="20"/>
                <w:szCs w:val="20"/>
              </w:rPr>
              <w:t>single</w:t>
            </w:r>
            <w:r w:rsidRPr="0039577F">
              <w:rPr>
                <w:rFonts w:ascii="Open Sans" w:hAnsi="Open Sans" w:cs="Open Sans"/>
                <w:spacing w:val="-10"/>
                <w:w w:val="105"/>
                <w:sz w:val="20"/>
                <w:szCs w:val="20"/>
              </w:rPr>
              <w:t xml:space="preserve"> </w:t>
            </w:r>
            <w:r w:rsidRPr="0039577F">
              <w:rPr>
                <w:rFonts w:ascii="Open Sans" w:hAnsi="Open Sans" w:cs="Open Sans"/>
                <w:spacing w:val="-2"/>
                <w:w w:val="105"/>
                <w:sz w:val="20"/>
                <w:szCs w:val="20"/>
              </w:rPr>
              <w:t>definition,</w:t>
            </w:r>
            <w:r w:rsidRPr="0039577F">
              <w:rPr>
                <w:rFonts w:ascii="Open Sans" w:hAnsi="Open Sans" w:cs="Open Sans"/>
                <w:spacing w:val="-9"/>
                <w:w w:val="105"/>
                <w:sz w:val="20"/>
                <w:szCs w:val="20"/>
              </w:rPr>
              <w:t xml:space="preserve"> </w:t>
            </w:r>
            <w:r w:rsidRPr="0039577F">
              <w:rPr>
                <w:rFonts w:ascii="Open Sans" w:hAnsi="Open Sans" w:cs="Open Sans"/>
                <w:spacing w:val="-2"/>
                <w:w w:val="105"/>
                <w:sz w:val="20"/>
                <w:szCs w:val="20"/>
              </w:rPr>
              <w:t>given</w:t>
            </w:r>
            <w:r w:rsidRPr="0039577F">
              <w:rPr>
                <w:rFonts w:ascii="Open Sans" w:hAnsi="Open Sans" w:cs="Open Sans"/>
                <w:spacing w:val="-9"/>
                <w:w w:val="105"/>
                <w:sz w:val="20"/>
                <w:szCs w:val="20"/>
              </w:rPr>
              <w:t xml:space="preserve"> </w:t>
            </w:r>
            <w:r w:rsidRPr="0039577F">
              <w:rPr>
                <w:rFonts w:ascii="Open Sans" w:hAnsi="Open Sans" w:cs="Open Sans"/>
                <w:spacing w:val="-2"/>
                <w:w w:val="105"/>
                <w:sz w:val="20"/>
                <w:szCs w:val="20"/>
              </w:rPr>
              <w:t>the</w:t>
            </w:r>
            <w:r w:rsidRPr="0039577F">
              <w:rPr>
                <w:rFonts w:ascii="Open Sans" w:hAnsi="Open Sans" w:cs="Open Sans"/>
                <w:spacing w:val="-10"/>
                <w:w w:val="105"/>
                <w:sz w:val="20"/>
                <w:szCs w:val="20"/>
              </w:rPr>
              <w:t xml:space="preserve"> </w:t>
            </w:r>
            <w:r w:rsidRPr="0039577F">
              <w:rPr>
                <w:rFonts w:ascii="Open Sans" w:hAnsi="Open Sans" w:cs="Open Sans"/>
                <w:spacing w:val="-2"/>
                <w:w w:val="105"/>
                <w:sz w:val="20"/>
                <w:szCs w:val="20"/>
              </w:rPr>
              <w:t>diversity</w:t>
            </w:r>
            <w:r w:rsidRPr="0039577F">
              <w:rPr>
                <w:rFonts w:ascii="Open Sans" w:hAnsi="Open Sans" w:cs="Open Sans"/>
                <w:spacing w:val="-10"/>
                <w:w w:val="105"/>
                <w:sz w:val="20"/>
                <w:szCs w:val="20"/>
              </w:rPr>
              <w:t xml:space="preserve"> </w:t>
            </w:r>
            <w:r w:rsidRPr="0039577F">
              <w:rPr>
                <w:rFonts w:ascii="Open Sans" w:hAnsi="Open Sans" w:cs="Open Sans"/>
                <w:spacing w:val="-2"/>
                <w:w w:val="105"/>
                <w:sz w:val="20"/>
                <w:szCs w:val="20"/>
              </w:rPr>
              <w:t>of</w:t>
            </w:r>
            <w:r w:rsidRPr="0039577F">
              <w:rPr>
                <w:rFonts w:ascii="Open Sans" w:hAnsi="Open Sans" w:cs="Open Sans"/>
                <w:spacing w:val="-10"/>
                <w:w w:val="105"/>
                <w:sz w:val="20"/>
                <w:szCs w:val="20"/>
              </w:rPr>
              <w:t xml:space="preserve"> </w:t>
            </w:r>
            <w:r w:rsidRPr="0039577F">
              <w:rPr>
                <w:rFonts w:ascii="Open Sans" w:hAnsi="Open Sans" w:cs="Open Sans"/>
                <w:spacing w:val="-2"/>
                <w:w w:val="105"/>
                <w:sz w:val="20"/>
                <w:szCs w:val="20"/>
              </w:rPr>
              <w:t>NPOs.</w:t>
            </w:r>
          </w:p>
          <w:p w14:paraId="1BDE71FA" w14:textId="069F0A96" w:rsidR="00B14710" w:rsidRPr="0039577F" w:rsidRDefault="00B14710" w:rsidP="00AC16B1">
            <w:pPr>
              <w:pStyle w:val="TableParagraph"/>
              <w:spacing w:before="120" w:after="120"/>
              <w:ind w:left="0"/>
              <w:rPr>
                <w:b/>
                <w:bCs/>
              </w:rPr>
            </w:pPr>
            <w:r w:rsidRPr="0039577F">
              <w:rPr>
                <w:rFonts w:ascii="Open Sans" w:hAnsi="Open Sans" w:cs="Open Sans"/>
                <w:sz w:val="20"/>
                <w:szCs w:val="20"/>
              </w:rPr>
              <w:t>Although</w:t>
            </w:r>
            <w:r w:rsidRPr="0039577F">
              <w:rPr>
                <w:rFonts w:ascii="Open Sans" w:hAnsi="Open Sans" w:cs="Open Sans"/>
                <w:spacing w:val="-1"/>
                <w:sz w:val="20"/>
                <w:szCs w:val="20"/>
              </w:rPr>
              <w:t xml:space="preserve"> </w:t>
            </w:r>
            <w:r w:rsidRPr="0039577F">
              <w:rPr>
                <w:rFonts w:ascii="Open Sans" w:hAnsi="Open Sans" w:cs="Open Sans"/>
                <w:sz w:val="20"/>
                <w:szCs w:val="20"/>
              </w:rPr>
              <w:t>an entity</w:t>
            </w:r>
            <w:r w:rsidRPr="0039577F">
              <w:rPr>
                <w:rFonts w:ascii="Open Sans" w:hAnsi="Open Sans" w:cs="Open Sans"/>
                <w:spacing w:val="-2"/>
                <w:sz w:val="20"/>
                <w:szCs w:val="20"/>
              </w:rPr>
              <w:t xml:space="preserve"> </w:t>
            </w:r>
            <w:r w:rsidRPr="0039577F">
              <w:rPr>
                <w:rFonts w:ascii="Open Sans" w:hAnsi="Open Sans" w:cs="Open Sans"/>
                <w:sz w:val="20"/>
                <w:szCs w:val="20"/>
              </w:rPr>
              <w:t>might</w:t>
            </w:r>
            <w:r w:rsidRPr="0039577F">
              <w:rPr>
                <w:rFonts w:ascii="Open Sans" w:hAnsi="Open Sans" w:cs="Open Sans"/>
                <w:spacing w:val="-1"/>
                <w:sz w:val="20"/>
                <w:szCs w:val="20"/>
              </w:rPr>
              <w:t xml:space="preserve"> </w:t>
            </w:r>
            <w:r w:rsidRPr="0039577F">
              <w:rPr>
                <w:rFonts w:ascii="Open Sans" w:hAnsi="Open Sans" w:cs="Open Sans"/>
                <w:sz w:val="20"/>
                <w:szCs w:val="20"/>
              </w:rPr>
              <w:t>be</w:t>
            </w:r>
            <w:r w:rsidRPr="0039577F">
              <w:rPr>
                <w:rFonts w:ascii="Open Sans" w:hAnsi="Open Sans" w:cs="Open Sans"/>
                <w:spacing w:val="-1"/>
                <w:sz w:val="20"/>
                <w:szCs w:val="20"/>
              </w:rPr>
              <w:t xml:space="preserve"> </w:t>
            </w:r>
            <w:r w:rsidRPr="0039577F">
              <w:rPr>
                <w:rFonts w:ascii="Open Sans" w:hAnsi="Open Sans" w:cs="Open Sans"/>
                <w:sz w:val="20"/>
                <w:szCs w:val="20"/>
              </w:rPr>
              <w:t>described</w:t>
            </w:r>
            <w:r w:rsidRPr="0039577F">
              <w:rPr>
                <w:rFonts w:ascii="Open Sans" w:hAnsi="Open Sans" w:cs="Open Sans"/>
                <w:spacing w:val="-2"/>
                <w:sz w:val="20"/>
                <w:szCs w:val="20"/>
              </w:rPr>
              <w:t xml:space="preserve"> </w:t>
            </w:r>
            <w:r w:rsidRPr="0039577F">
              <w:rPr>
                <w:rFonts w:ascii="Open Sans" w:hAnsi="Open Sans" w:cs="Open Sans"/>
                <w:sz w:val="20"/>
                <w:szCs w:val="20"/>
              </w:rPr>
              <w:t>as an NPO</w:t>
            </w:r>
            <w:r w:rsidRPr="0039577F">
              <w:rPr>
                <w:rFonts w:ascii="Open Sans" w:hAnsi="Open Sans" w:cs="Open Sans"/>
                <w:spacing w:val="-2"/>
                <w:sz w:val="20"/>
                <w:szCs w:val="20"/>
              </w:rPr>
              <w:t xml:space="preserve"> </w:t>
            </w:r>
            <w:r w:rsidRPr="0039577F">
              <w:rPr>
                <w:rFonts w:ascii="Open Sans" w:hAnsi="Open Sans" w:cs="Open Sans"/>
                <w:sz w:val="20"/>
                <w:szCs w:val="20"/>
              </w:rPr>
              <w:t>for</w:t>
            </w:r>
            <w:r w:rsidRPr="0039577F">
              <w:rPr>
                <w:rFonts w:ascii="Open Sans" w:hAnsi="Open Sans" w:cs="Open Sans"/>
                <w:spacing w:val="-1"/>
                <w:sz w:val="20"/>
                <w:szCs w:val="20"/>
              </w:rPr>
              <w:t xml:space="preserve"> </w:t>
            </w:r>
            <w:r w:rsidRPr="0039577F">
              <w:rPr>
                <w:rFonts w:ascii="Open Sans" w:hAnsi="Open Sans" w:cs="Open Sans"/>
                <w:sz w:val="20"/>
                <w:szCs w:val="20"/>
              </w:rPr>
              <w:t>the</w:t>
            </w:r>
            <w:r w:rsidRPr="0039577F">
              <w:rPr>
                <w:rFonts w:ascii="Open Sans" w:hAnsi="Open Sans" w:cs="Open Sans"/>
                <w:spacing w:val="-1"/>
                <w:sz w:val="20"/>
                <w:szCs w:val="20"/>
              </w:rPr>
              <w:t xml:space="preserve"> </w:t>
            </w:r>
            <w:r w:rsidRPr="0039577F">
              <w:rPr>
                <w:rFonts w:ascii="Open Sans" w:hAnsi="Open Sans" w:cs="Open Sans"/>
                <w:sz w:val="20"/>
                <w:szCs w:val="20"/>
              </w:rPr>
              <w:t>purposes</w:t>
            </w:r>
            <w:r w:rsidRPr="0039577F">
              <w:rPr>
                <w:rFonts w:ascii="Open Sans" w:hAnsi="Open Sans" w:cs="Open Sans"/>
                <w:spacing w:val="-1"/>
                <w:sz w:val="20"/>
                <w:szCs w:val="20"/>
              </w:rPr>
              <w:t xml:space="preserve"> </w:t>
            </w:r>
            <w:r w:rsidRPr="0039577F">
              <w:rPr>
                <w:rFonts w:ascii="Open Sans" w:hAnsi="Open Sans" w:cs="Open Sans"/>
                <w:sz w:val="20"/>
                <w:szCs w:val="20"/>
              </w:rPr>
              <w:t>of</w:t>
            </w:r>
            <w:r w:rsidRPr="0039577F">
              <w:rPr>
                <w:rFonts w:ascii="Open Sans" w:hAnsi="Open Sans" w:cs="Open Sans"/>
                <w:spacing w:val="-1"/>
                <w:sz w:val="20"/>
                <w:szCs w:val="20"/>
              </w:rPr>
              <w:t xml:space="preserve"> </w:t>
            </w:r>
            <w:r w:rsidRPr="0039577F">
              <w:rPr>
                <w:rFonts w:ascii="Open Sans" w:hAnsi="Open Sans" w:cs="Open Sans"/>
                <w:sz w:val="20"/>
                <w:szCs w:val="20"/>
              </w:rPr>
              <w:t>INPAG</w:t>
            </w:r>
            <w:r w:rsidRPr="0039577F">
              <w:rPr>
                <w:rFonts w:ascii="Open Sans" w:hAnsi="Open Sans" w:cs="Open Sans"/>
                <w:spacing w:val="1"/>
                <w:sz w:val="20"/>
                <w:szCs w:val="20"/>
              </w:rPr>
              <w:t xml:space="preserve"> </w:t>
            </w:r>
            <w:r w:rsidRPr="0039577F">
              <w:rPr>
                <w:rFonts w:ascii="Open Sans" w:hAnsi="Open Sans" w:cs="Open Sans"/>
                <w:sz w:val="20"/>
                <w:szCs w:val="20"/>
              </w:rPr>
              <w:t>based</w:t>
            </w:r>
            <w:r w:rsidRPr="0039577F">
              <w:rPr>
                <w:rFonts w:ascii="Open Sans" w:hAnsi="Open Sans" w:cs="Open Sans"/>
                <w:spacing w:val="-2"/>
                <w:sz w:val="20"/>
                <w:szCs w:val="20"/>
              </w:rPr>
              <w:t xml:space="preserve"> </w:t>
            </w:r>
            <w:r w:rsidRPr="0039577F">
              <w:rPr>
                <w:rFonts w:ascii="Open Sans" w:hAnsi="Open Sans" w:cs="Open Sans"/>
                <w:sz w:val="20"/>
                <w:szCs w:val="20"/>
              </w:rPr>
              <w:t>on these</w:t>
            </w:r>
            <w:r w:rsidRPr="0039577F">
              <w:rPr>
                <w:rFonts w:ascii="Open Sans" w:hAnsi="Open Sans" w:cs="Open Sans"/>
                <w:spacing w:val="-2"/>
                <w:sz w:val="20"/>
                <w:szCs w:val="20"/>
              </w:rPr>
              <w:t xml:space="preserve"> characteristics,</w:t>
            </w:r>
            <w:r w:rsidR="00A07D43" w:rsidRPr="0039577F">
              <w:rPr>
                <w:rFonts w:ascii="Open Sans" w:hAnsi="Open Sans" w:cs="Open Sans"/>
                <w:spacing w:val="-2"/>
                <w:sz w:val="20"/>
                <w:szCs w:val="20"/>
              </w:rPr>
              <w:t xml:space="preserve"> </w:t>
            </w:r>
            <w:r w:rsidRPr="0039577F">
              <w:rPr>
                <w:rFonts w:ascii="Open Sans" w:hAnsi="Open Sans" w:cs="Open Sans"/>
                <w:sz w:val="20"/>
                <w:szCs w:val="20"/>
              </w:rPr>
              <w:t>INPAG is not</w:t>
            </w:r>
            <w:r w:rsidRPr="0039577F">
              <w:rPr>
                <w:rFonts w:ascii="Open Sans" w:hAnsi="Open Sans" w:cs="Open Sans"/>
                <w:spacing w:val="-1"/>
                <w:sz w:val="20"/>
                <w:szCs w:val="20"/>
              </w:rPr>
              <w:t xml:space="preserve"> </w:t>
            </w:r>
            <w:r w:rsidRPr="0039577F">
              <w:rPr>
                <w:rFonts w:ascii="Open Sans" w:hAnsi="Open Sans" w:cs="Open Sans"/>
                <w:sz w:val="20"/>
                <w:szCs w:val="20"/>
              </w:rPr>
              <w:t>intending to apply to very small NPOs, where cash</w:t>
            </w:r>
            <w:r w:rsidR="00522012" w:rsidRPr="0039577F">
              <w:rPr>
                <w:rFonts w:ascii="Open Sans" w:hAnsi="Open Sans" w:cs="Open Sans"/>
                <w:sz w:val="20"/>
                <w:szCs w:val="20"/>
              </w:rPr>
              <w:t>-</w:t>
            </w:r>
            <w:r w:rsidRPr="0039577F">
              <w:rPr>
                <w:rFonts w:ascii="Open Sans" w:hAnsi="Open Sans" w:cs="Open Sans"/>
                <w:sz w:val="20"/>
                <w:szCs w:val="20"/>
              </w:rPr>
              <w:t>based financial information might</w:t>
            </w:r>
            <w:r w:rsidRPr="0039577F">
              <w:rPr>
                <w:rFonts w:ascii="Open Sans" w:hAnsi="Open Sans" w:cs="Open Sans"/>
                <w:spacing w:val="-1"/>
                <w:sz w:val="20"/>
                <w:szCs w:val="20"/>
              </w:rPr>
              <w:t xml:space="preserve"> </w:t>
            </w:r>
            <w:r w:rsidRPr="0039577F">
              <w:rPr>
                <w:rFonts w:ascii="Open Sans" w:hAnsi="Open Sans" w:cs="Open Sans"/>
                <w:sz w:val="20"/>
                <w:szCs w:val="20"/>
              </w:rPr>
              <w:t>be sufficient, or those NPOs that meet the definition of public accountability in IFRS</w:t>
            </w:r>
            <w:r w:rsidR="007B3A98" w:rsidRPr="0039577F">
              <w:rPr>
                <w:rFonts w:ascii="Open Sans" w:hAnsi="Open Sans" w:cs="Open Sans"/>
                <w:sz w:val="20"/>
                <w:szCs w:val="20"/>
              </w:rPr>
              <w:t>-</w:t>
            </w:r>
            <w:r w:rsidRPr="0039577F">
              <w:rPr>
                <w:rFonts w:ascii="Open Sans" w:hAnsi="Open Sans" w:cs="Open Sans"/>
                <w:sz w:val="20"/>
                <w:szCs w:val="20"/>
              </w:rPr>
              <w:lastRenderedPageBreak/>
              <w:t>based standards.</w:t>
            </w:r>
          </w:p>
        </w:tc>
      </w:tr>
      <w:tr w:rsidR="00710CE2" w:rsidRPr="0039577F" w14:paraId="7C0C904E" w14:textId="77777777" w:rsidTr="00D90216">
        <w:trPr>
          <w:trHeight w:val="283"/>
        </w:trPr>
        <w:tc>
          <w:tcPr>
            <w:tcW w:w="4349" w:type="dxa"/>
            <w:vAlign w:val="center"/>
          </w:tcPr>
          <w:p w14:paraId="4ED92A75" w14:textId="77777777" w:rsidR="00710CE2" w:rsidRPr="0039577F" w:rsidRDefault="00710CE2" w:rsidP="00AC16B1">
            <w:pPr>
              <w:spacing w:before="120" w:after="120"/>
              <w:rPr>
                <w:rFonts w:ascii="Open Sans" w:hAnsi="Open Sans" w:cs="Open Sans"/>
                <w:b/>
                <w:bCs/>
                <w:sz w:val="20"/>
                <w:szCs w:val="20"/>
                <w:lang w:val="en-US"/>
              </w:rPr>
            </w:pPr>
          </w:p>
        </w:tc>
        <w:tc>
          <w:tcPr>
            <w:tcW w:w="1790" w:type="dxa"/>
            <w:vAlign w:val="center"/>
          </w:tcPr>
          <w:p w14:paraId="7C3E9FFE" w14:textId="2A83D782" w:rsidR="00710CE2" w:rsidRPr="0039577F" w:rsidRDefault="00710CE2"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References</w:t>
            </w:r>
          </w:p>
        </w:tc>
        <w:tc>
          <w:tcPr>
            <w:tcW w:w="8173" w:type="dxa"/>
            <w:vAlign w:val="center"/>
          </w:tcPr>
          <w:p w14:paraId="098CDD25" w14:textId="5D461355" w:rsidR="00710CE2" w:rsidRPr="0039577F" w:rsidRDefault="00710CE2"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Response</w:t>
            </w:r>
          </w:p>
        </w:tc>
      </w:tr>
      <w:tr w:rsidR="00FE20EA" w:rsidRPr="0039577F" w14:paraId="6864AC12" w14:textId="77777777" w:rsidTr="00FE20EA">
        <w:trPr>
          <w:trHeight w:val="283"/>
        </w:trPr>
        <w:tc>
          <w:tcPr>
            <w:tcW w:w="4349" w:type="dxa"/>
            <w:vAlign w:val="center"/>
          </w:tcPr>
          <w:p w14:paraId="2CA8BDE8" w14:textId="77777777" w:rsidR="00FE20EA" w:rsidRPr="0039577F" w:rsidRDefault="00FE20EA" w:rsidP="00AC16B1">
            <w:pPr>
              <w:numPr>
                <w:ilvl w:val="0"/>
                <w:numId w:val="1"/>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39577F" w:rsidRDefault="00FE20EA" w:rsidP="00AC16B1">
            <w:pPr>
              <w:spacing w:before="120" w:after="120"/>
              <w:rPr>
                <w:rFonts w:ascii="Open Sans" w:hAnsi="Open Sans" w:cs="Open Sans"/>
                <w:b/>
                <w:bCs/>
                <w:sz w:val="20"/>
                <w:szCs w:val="20"/>
                <w:lang w:val="en-US"/>
              </w:rPr>
            </w:pPr>
          </w:p>
        </w:tc>
        <w:tc>
          <w:tcPr>
            <w:tcW w:w="1790" w:type="dxa"/>
          </w:tcPr>
          <w:p w14:paraId="3D3A0BAF" w14:textId="5D6E77A9" w:rsidR="00FE20EA" w:rsidRPr="0039577F" w:rsidRDefault="00FE20EA" w:rsidP="00AC16B1">
            <w:pPr>
              <w:spacing w:before="120" w:after="120"/>
              <w:rPr>
                <w:rFonts w:ascii="Open Sans" w:hAnsi="Open Sans" w:cs="Open Sans"/>
                <w:b/>
                <w:bCs/>
                <w:sz w:val="20"/>
                <w:szCs w:val="20"/>
                <w:lang w:val="en-US"/>
              </w:rPr>
            </w:pPr>
            <w:r w:rsidRPr="0039577F">
              <w:rPr>
                <w:rFonts w:ascii="Open Sans" w:hAnsi="Open Sans" w:cs="Open Sans"/>
                <w:sz w:val="20"/>
                <w:szCs w:val="20"/>
                <w:lang w:val="en-US"/>
              </w:rPr>
              <w:t>G1.2-G1.5</w:t>
            </w:r>
          </w:p>
        </w:tc>
        <w:tc>
          <w:tcPr>
            <w:tcW w:w="8173" w:type="dxa"/>
            <w:vAlign w:val="center"/>
          </w:tcPr>
          <w:p w14:paraId="6C2148D0" w14:textId="7CFAE8DC" w:rsidR="005B5909" w:rsidRPr="0039577F" w:rsidRDefault="005B5909"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There are many entities who are funded such that they will never generate a surplus, but who provide benefit to the public and for all intents and purposes are non-profit entities. We are concerned that characteristic two cannot be met in such circumstances where there are no surpluses. Therefore, we propose that characteristic two is amended as follows: </w:t>
            </w:r>
          </w:p>
          <w:p w14:paraId="179B5020" w14:textId="633B4B28" w:rsidR="005B5909" w:rsidRPr="0039577F" w:rsidRDefault="005B5909" w:rsidP="00AC16B1">
            <w:pPr>
              <w:spacing w:before="120" w:after="120"/>
              <w:rPr>
                <w:rFonts w:ascii="Open Sans" w:hAnsi="Open Sans" w:cs="Open Sans"/>
                <w:sz w:val="20"/>
                <w:szCs w:val="20"/>
                <w:lang w:val="en-US"/>
              </w:rPr>
            </w:pPr>
            <w:r w:rsidRPr="0039577F">
              <w:rPr>
                <w:rFonts w:ascii="Open Sans" w:hAnsi="Open Sans" w:cs="Open Sans"/>
                <w:sz w:val="20"/>
                <w:szCs w:val="20"/>
              </w:rPr>
              <w:t xml:space="preserve">They direct </w:t>
            </w:r>
            <w:r w:rsidRPr="0039577F">
              <w:rPr>
                <w:rFonts w:ascii="Open Sans" w:hAnsi="Open Sans" w:cs="Open Sans"/>
                <w:sz w:val="20"/>
                <w:szCs w:val="20"/>
                <w:u w:val="single"/>
              </w:rPr>
              <w:t xml:space="preserve">any </w:t>
            </w:r>
            <w:r w:rsidRPr="0039577F">
              <w:rPr>
                <w:rFonts w:ascii="Open Sans" w:hAnsi="Open Sans" w:cs="Open Sans"/>
                <w:sz w:val="20"/>
                <w:szCs w:val="20"/>
              </w:rPr>
              <w:t>financial surpluses for the benefit of the public</w:t>
            </w:r>
          </w:p>
          <w:p w14:paraId="3330F906" w14:textId="19AA5EC9" w:rsidR="005B5909" w:rsidRPr="0039577F" w:rsidRDefault="00F7239D"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In the UK, there are some public bodies such as educational institutions which are controlled by and report into Government. These would meet the definition </w:t>
            </w:r>
            <w:r w:rsidR="005B5909" w:rsidRPr="0039577F">
              <w:rPr>
                <w:rFonts w:ascii="Open Sans" w:hAnsi="Open Sans" w:cs="Open Sans"/>
                <w:sz w:val="20"/>
                <w:szCs w:val="20"/>
                <w:lang w:val="en-US"/>
              </w:rPr>
              <w:t xml:space="preserve">of NPOs </w:t>
            </w:r>
            <w:r w:rsidRPr="0039577F">
              <w:rPr>
                <w:rFonts w:ascii="Open Sans" w:hAnsi="Open Sans" w:cs="Open Sans"/>
                <w:sz w:val="20"/>
                <w:szCs w:val="20"/>
                <w:lang w:val="en-US"/>
              </w:rPr>
              <w:t xml:space="preserve">as included in the exposure draft, as they do not apply public sector financial </w:t>
            </w:r>
            <w:r w:rsidR="00144390">
              <w:rPr>
                <w:rFonts w:ascii="Open Sans" w:hAnsi="Open Sans" w:cs="Open Sans"/>
                <w:sz w:val="20"/>
                <w:szCs w:val="20"/>
                <w:lang w:val="en-US"/>
              </w:rPr>
              <w:t>reporting standards</w:t>
            </w:r>
            <w:r w:rsidR="00144390" w:rsidRPr="0039577F">
              <w:rPr>
                <w:rFonts w:ascii="Open Sans" w:hAnsi="Open Sans" w:cs="Open Sans"/>
                <w:sz w:val="20"/>
                <w:szCs w:val="20"/>
                <w:lang w:val="en-US"/>
              </w:rPr>
              <w:t xml:space="preserve"> </w:t>
            </w:r>
            <w:r w:rsidRPr="0039577F">
              <w:rPr>
                <w:rFonts w:ascii="Open Sans" w:hAnsi="Open Sans" w:cs="Open Sans"/>
                <w:sz w:val="20"/>
                <w:szCs w:val="20"/>
                <w:lang w:val="en-US"/>
              </w:rPr>
              <w:t xml:space="preserve">(in the UK, this would be the </w:t>
            </w:r>
            <w:proofErr w:type="spellStart"/>
            <w:r w:rsidRPr="0039577F">
              <w:rPr>
                <w:rFonts w:ascii="Open Sans" w:hAnsi="Open Sans" w:cs="Open Sans"/>
                <w:sz w:val="20"/>
                <w:szCs w:val="20"/>
                <w:lang w:val="en-US"/>
              </w:rPr>
              <w:t>FReM</w:t>
            </w:r>
            <w:proofErr w:type="spellEnd"/>
            <w:r w:rsidRPr="0039577F">
              <w:rPr>
                <w:rFonts w:ascii="Open Sans" w:hAnsi="Open Sans" w:cs="Open Sans"/>
                <w:sz w:val="20"/>
                <w:szCs w:val="20"/>
                <w:lang w:val="en-US"/>
              </w:rPr>
              <w:t xml:space="preserve">). However, they </w:t>
            </w:r>
            <w:r w:rsidR="005B5909" w:rsidRPr="0039577F">
              <w:rPr>
                <w:rFonts w:ascii="Open Sans" w:hAnsi="Open Sans" w:cs="Open Sans"/>
                <w:sz w:val="20"/>
                <w:szCs w:val="20"/>
                <w:lang w:val="en-US"/>
              </w:rPr>
              <w:t>are required to apply</w:t>
            </w:r>
            <w:r w:rsidRPr="0039577F">
              <w:rPr>
                <w:rFonts w:ascii="Open Sans" w:hAnsi="Open Sans" w:cs="Open Sans"/>
                <w:sz w:val="20"/>
                <w:szCs w:val="20"/>
                <w:lang w:val="en-US"/>
              </w:rPr>
              <w:t xml:space="preserve"> </w:t>
            </w:r>
            <w:r w:rsidR="00144390">
              <w:rPr>
                <w:rFonts w:ascii="Open Sans" w:hAnsi="Open Sans" w:cs="Open Sans"/>
                <w:sz w:val="20"/>
                <w:szCs w:val="20"/>
                <w:lang w:val="en-US"/>
              </w:rPr>
              <w:t>a specified</w:t>
            </w:r>
            <w:r w:rsidRPr="0039577F">
              <w:rPr>
                <w:rFonts w:ascii="Open Sans" w:hAnsi="Open Sans" w:cs="Open Sans"/>
                <w:sz w:val="20"/>
                <w:szCs w:val="20"/>
                <w:lang w:val="en-US"/>
              </w:rPr>
              <w:t xml:space="preserve"> accounting framework. It is our understanding of characteristic three, that the intention is to exclude entities who have an existing recognised accounting framework</w:t>
            </w:r>
            <w:r w:rsidR="005B5909" w:rsidRPr="0039577F">
              <w:rPr>
                <w:rFonts w:ascii="Open Sans" w:hAnsi="Open Sans" w:cs="Open Sans"/>
                <w:sz w:val="20"/>
                <w:szCs w:val="20"/>
                <w:lang w:val="en-US"/>
              </w:rPr>
              <w:t xml:space="preserve"> that</w:t>
            </w:r>
            <w:r w:rsidRPr="0039577F">
              <w:rPr>
                <w:rFonts w:ascii="Open Sans" w:hAnsi="Open Sans" w:cs="Open Sans"/>
                <w:sz w:val="20"/>
                <w:szCs w:val="20"/>
                <w:lang w:val="en-US"/>
              </w:rPr>
              <w:t xml:space="preserve"> they are required to apply as public sector entities. </w:t>
            </w:r>
            <w:r w:rsidR="005B5909" w:rsidRPr="0039577F">
              <w:rPr>
                <w:rFonts w:ascii="Open Sans" w:hAnsi="Open Sans" w:cs="Open Sans"/>
                <w:sz w:val="20"/>
                <w:szCs w:val="20"/>
                <w:lang w:val="en-US"/>
              </w:rPr>
              <w:t xml:space="preserve">To avoid such entities being scoped into the application of INPAG, characteristic three is amended as follows: </w:t>
            </w:r>
          </w:p>
          <w:p w14:paraId="76DF1CE6" w14:textId="09EBB950" w:rsidR="00FE20EA" w:rsidRPr="0039577F" w:rsidRDefault="005B5909" w:rsidP="00AC16B1">
            <w:pPr>
              <w:spacing w:before="120" w:after="120"/>
              <w:rPr>
                <w:rFonts w:ascii="Open Sans" w:hAnsi="Open Sans" w:cs="Open Sans"/>
                <w:sz w:val="20"/>
                <w:szCs w:val="20"/>
                <w:lang w:val="en-US"/>
              </w:rPr>
            </w:pPr>
            <w:r w:rsidRPr="0039577F">
              <w:t>They are not government or public sector entities that should prepare general purpose financial reports under public sector financial reporting standards</w:t>
            </w:r>
            <w:r w:rsidRPr="0039577F">
              <w:rPr>
                <w:u w:val="single"/>
              </w:rPr>
              <w:t xml:space="preserve"> or other specified reporting frameworks</w:t>
            </w:r>
            <w:r w:rsidRPr="0039577F">
              <w:t>.</w:t>
            </w:r>
          </w:p>
        </w:tc>
      </w:tr>
      <w:tr w:rsidR="00A7789F" w:rsidRPr="0039577F" w14:paraId="7017F369" w14:textId="4D678862" w:rsidTr="00B14710">
        <w:tc>
          <w:tcPr>
            <w:tcW w:w="4349" w:type="dxa"/>
          </w:tcPr>
          <w:p w14:paraId="36EE53F7" w14:textId="3DC23B54" w:rsidR="00A7789F" w:rsidRPr="0039577F" w:rsidRDefault="00A7789F" w:rsidP="00AC16B1">
            <w:pPr>
              <w:numPr>
                <w:ilvl w:val="0"/>
                <w:numId w:val="1"/>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 xml:space="preserve">Does Section 1, together with the Preface, provide clear guidance on which NPOs </w:t>
            </w:r>
            <w:r w:rsidRPr="0039577F">
              <w:rPr>
                <w:rFonts w:ascii="Open Sans" w:hAnsi="Open Sans" w:cs="Open Sans"/>
                <w:sz w:val="20"/>
                <w:szCs w:val="20"/>
                <w:lang w:val="en-US"/>
              </w:rPr>
              <w:lastRenderedPageBreak/>
              <w:t>are intended to benefit from the use of INPAG? If not, what would be more useful?</w:t>
            </w:r>
          </w:p>
        </w:tc>
        <w:tc>
          <w:tcPr>
            <w:tcW w:w="1790" w:type="dxa"/>
          </w:tcPr>
          <w:p w14:paraId="1F6A89A8" w14:textId="6F02E740" w:rsidR="00A7789F" w:rsidRPr="0039577F" w:rsidRDefault="00A7789F" w:rsidP="00AC16B1">
            <w:pPr>
              <w:spacing w:before="120" w:after="120"/>
              <w:rPr>
                <w:rFonts w:ascii="Open Sans" w:hAnsi="Open Sans" w:cs="Open Sans"/>
                <w:b/>
                <w:bCs/>
                <w:sz w:val="20"/>
                <w:szCs w:val="20"/>
                <w:lang w:val="en-US"/>
              </w:rPr>
            </w:pPr>
          </w:p>
        </w:tc>
        <w:tc>
          <w:tcPr>
            <w:tcW w:w="8173" w:type="dxa"/>
          </w:tcPr>
          <w:p w14:paraId="35BF80DD" w14:textId="77777777" w:rsidR="00A7789F" w:rsidRPr="0039577F" w:rsidRDefault="00383291"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The exposure draft makes it clear that the application of this guidance is judgmental. We suggest it would be helpful to provide examples to evidence the types of entities </w:t>
            </w:r>
            <w:r w:rsidRPr="0039577F">
              <w:rPr>
                <w:rFonts w:ascii="Open Sans" w:hAnsi="Open Sans" w:cs="Open Sans"/>
                <w:sz w:val="20"/>
                <w:szCs w:val="20"/>
                <w:lang w:val="en-US"/>
              </w:rPr>
              <w:lastRenderedPageBreak/>
              <w:t xml:space="preserve">that </w:t>
            </w:r>
            <w:r w:rsidR="005B5909" w:rsidRPr="0039577F">
              <w:rPr>
                <w:rFonts w:ascii="Open Sans" w:hAnsi="Open Sans" w:cs="Open Sans"/>
                <w:sz w:val="20"/>
                <w:szCs w:val="20"/>
                <w:lang w:val="en-US"/>
              </w:rPr>
              <w:t xml:space="preserve">wouldn’t be expected to meet the criteria to assist users of INPAG make this judgement. </w:t>
            </w:r>
          </w:p>
          <w:p w14:paraId="17E8030D" w14:textId="3CDB85DE" w:rsidR="00D453E5" w:rsidRPr="0039577F" w:rsidRDefault="00D453E5"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Also, the ED indicates that INPAG will not be appropriate for th</w:t>
            </w:r>
            <w:r w:rsidR="00144390">
              <w:rPr>
                <w:rFonts w:ascii="Open Sans" w:hAnsi="Open Sans" w:cs="Open Sans"/>
                <w:sz w:val="20"/>
                <w:szCs w:val="20"/>
                <w:lang w:val="en-US"/>
              </w:rPr>
              <w:t>ose NPOs with public accountability as defined in IFRS nor</w:t>
            </w:r>
            <w:r w:rsidR="00144390" w:rsidRPr="0039577F">
              <w:rPr>
                <w:rFonts w:ascii="Open Sans" w:hAnsi="Open Sans" w:cs="Open Sans"/>
                <w:sz w:val="20"/>
                <w:szCs w:val="20"/>
                <w:lang w:val="en-US"/>
              </w:rPr>
              <w:t xml:space="preserve"> </w:t>
            </w:r>
            <w:r w:rsidR="00144390">
              <w:rPr>
                <w:rFonts w:ascii="Open Sans" w:hAnsi="Open Sans" w:cs="Open Sans"/>
                <w:sz w:val="20"/>
                <w:szCs w:val="20"/>
                <w:lang w:val="en-US"/>
              </w:rPr>
              <w:t xml:space="preserve">the </w:t>
            </w:r>
            <w:r w:rsidRPr="0039577F">
              <w:rPr>
                <w:rFonts w:ascii="Open Sans" w:hAnsi="Open Sans" w:cs="Open Sans"/>
                <w:sz w:val="20"/>
                <w:szCs w:val="20"/>
                <w:lang w:val="en-US"/>
              </w:rPr>
              <w:t xml:space="preserve">smallest of </w:t>
            </w:r>
            <w:r w:rsidR="00144390">
              <w:rPr>
                <w:rFonts w:ascii="Open Sans" w:hAnsi="Open Sans" w:cs="Open Sans"/>
                <w:sz w:val="20"/>
                <w:szCs w:val="20"/>
                <w:lang w:val="en-US"/>
              </w:rPr>
              <w:t>NPOs</w:t>
            </w:r>
            <w:r w:rsidR="00144390" w:rsidRPr="0039577F">
              <w:rPr>
                <w:rFonts w:ascii="Open Sans" w:hAnsi="Open Sans" w:cs="Open Sans"/>
                <w:sz w:val="20"/>
                <w:szCs w:val="20"/>
                <w:lang w:val="en-US"/>
              </w:rPr>
              <w:t xml:space="preserve"> </w:t>
            </w:r>
            <w:r w:rsidRPr="0039577F">
              <w:rPr>
                <w:rFonts w:ascii="Open Sans" w:hAnsi="Open Sans" w:cs="Open Sans"/>
                <w:sz w:val="20"/>
                <w:szCs w:val="20"/>
                <w:lang w:val="en-US"/>
              </w:rPr>
              <w:t xml:space="preserve">(as </w:t>
            </w:r>
            <w:r w:rsidR="00144390" w:rsidRPr="0039577F">
              <w:rPr>
                <w:rFonts w:ascii="Open Sans" w:hAnsi="Open Sans" w:cs="Open Sans"/>
                <w:sz w:val="20"/>
                <w:szCs w:val="20"/>
                <w:lang w:val="en-US"/>
              </w:rPr>
              <w:t>full</w:t>
            </w:r>
            <w:r w:rsidR="00144390">
              <w:rPr>
                <w:rFonts w:ascii="Open Sans" w:hAnsi="Open Sans" w:cs="Open Sans"/>
                <w:sz w:val="20"/>
                <w:szCs w:val="20"/>
                <w:lang w:val="en-US"/>
              </w:rPr>
              <w:t xml:space="preserve"> </w:t>
            </w:r>
            <w:r w:rsidR="00144390" w:rsidRPr="0039577F">
              <w:rPr>
                <w:rFonts w:ascii="Open Sans" w:hAnsi="Open Sans" w:cs="Open Sans"/>
                <w:sz w:val="20"/>
                <w:szCs w:val="20"/>
                <w:lang w:val="en-US"/>
              </w:rPr>
              <w:t xml:space="preserve">IFRS </w:t>
            </w:r>
            <w:r w:rsidR="00144390">
              <w:rPr>
                <w:rFonts w:ascii="Open Sans" w:hAnsi="Open Sans" w:cs="Open Sans"/>
                <w:sz w:val="20"/>
                <w:szCs w:val="20"/>
                <w:lang w:val="en-US"/>
              </w:rPr>
              <w:t>or equivalent GAAP, or</w:t>
            </w:r>
            <w:r w:rsidR="00144390" w:rsidRPr="0039577F">
              <w:rPr>
                <w:rFonts w:ascii="Open Sans" w:hAnsi="Open Sans" w:cs="Open Sans"/>
                <w:sz w:val="20"/>
                <w:szCs w:val="20"/>
                <w:lang w:val="en-US"/>
              </w:rPr>
              <w:t xml:space="preserve"> </w:t>
            </w:r>
            <w:r w:rsidRPr="0039577F">
              <w:rPr>
                <w:rFonts w:ascii="Open Sans" w:hAnsi="Open Sans" w:cs="Open Sans"/>
                <w:sz w:val="20"/>
                <w:szCs w:val="20"/>
                <w:lang w:val="en-US"/>
              </w:rPr>
              <w:t xml:space="preserve">cash accounting would be more appropriate). It would be helpful to the users of INPAG to give an indication of the sizes of entities that this would relate to. </w:t>
            </w:r>
          </w:p>
        </w:tc>
      </w:tr>
    </w:tbl>
    <w:p w14:paraId="52ADDA61" w14:textId="74D97B0C" w:rsidR="00E34C92" w:rsidRPr="0039577F" w:rsidRDefault="00E34C92" w:rsidP="00AC16B1">
      <w:pPr>
        <w:spacing w:before="120" w:after="120"/>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39577F" w14:paraId="7822CF40" w14:textId="77777777" w:rsidTr="00810492">
        <w:tc>
          <w:tcPr>
            <w:tcW w:w="4388" w:type="dxa"/>
          </w:tcPr>
          <w:p w14:paraId="47070A7F" w14:textId="3AE181A3" w:rsidR="007A3859" w:rsidRPr="0039577F" w:rsidRDefault="007A3859" w:rsidP="00AC16B1">
            <w:pPr>
              <w:spacing w:before="120" w:after="120"/>
              <w:jc w:val="both"/>
              <w:rPr>
                <w:rFonts w:ascii="Open Sans" w:hAnsi="Open Sans" w:cs="Open Sans"/>
                <w:b/>
                <w:bCs/>
                <w:sz w:val="20"/>
                <w:szCs w:val="20"/>
                <w:lang w:val="en-US"/>
              </w:rPr>
            </w:pPr>
            <w:r w:rsidRPr="0039577F">
              <w:rPr>
                <w:rFonts w:ascii="Open Sans" w:hAnsi="Open Sans" w:cs="Open Sans"/>
                <w:sz w:val="20"/>
                <w:szCs w:val="20"/>
              </w:rPr>
              <w:br w:type="page"/>
            </w:r>
            <w:r w:rsidRPr="0039577F">
              <w:rPr>
                <w:rFonts w:ascii="Open Sans" w:hAnsi="Open Sans" w:cs="Open Sans"/>
                <w:b/>
                <w:bCs/>
                <w:sz w:val="20"/>
                <w:szCs w:val="20"/>
                <w:lang w:val="en-US"/>
              </w:rPr>
              <w:t>Question 3: Concepts and pervasive principles</w:t>
            </w:r>
          </w:p>
          <w:p w14:paraId="62279961" w14:textId="742A77C2" w:rsidR="007A3859" w:rsidRPr="0039577F" w:rsidRDefault="007A3859" w:rsidP="00AC16B1">
            <w:pPr>
              <w:spacing w:before="120" w:after="120"/>
              <w:jc w:val="both"/>
              <w:rPr>
                <w:rFonts w:ascii="Open Sans" w:hAnsi="Open Sans" w:cs="Open Sans"/>
                <w:b/>
                <w:bCs/>
                <w:sz w:val="20"/>
                <w:szCs w:val="20"/>
                <w:lang w:val="en-US"/>
              </w:rPr>
            </w:pPr>
          </w:p>
        </w:tc>
        <w:tc>
          <w:tcPr>
            <w:tcW w:w="9924" w:type="dxa"/>
            <w:gridSpan w:val="2"/>
          </w:tcPr>
          <w:p w14:paraId="1483B420" w14:textId="2E4CDF27" w:rsidR="00A96E23" w:rsidRPr="0039577F" w:rsidRDefault="00A96E23" w:rsidP="00AC16B1">
            <w:pPr>
              <w:pStyle w:val="TableParagraph"/>
              <w:spacing w:before="120" w:after="120" w:line="254" w:lineRule="auto"/>
              <w:ind w:left="0" w:right="146"/>
              <w:rPr>
                <w:rFonts w:ascii="Open Sans" w:hAnsi="Open Sans" w:cs="Open Sans"/>
                <w:sz w:val="20"/>
                <w:szCs w:val="20"/>
              </w:rPr>
            </w:pPr>
            <w:r w:rsidRPr="0039577F">
              <w:rPr>
                <w:rFonts w:ascii="Open Sans" w:hAnsi="Open Sans" w:cs="Open Sans"/>
                <w:sz w:val="20"/>
                <w:szCs w:val="20"/>
              </w:rPr>
              <w:t>This Section sets out the concepts and principles that underpin the accounting requirements for NPO transactions and events.</w:t>
            </w:r>
            <w:r w:rsidR="00D1710E" w:rsidRPr="0039577F">
              <w:rPr>
                <w:rFonts w:ascii="Open Sans" w:hAnsi="Open Sans" w:cs="Open Sans"/>
                <w:spacing w:val="40"/>
                <w:sz w:val="20"/>
                <w:szCs w:val="20"/>
              </w:rPr>
              <w:t xml:space="preserve"> </w:t>
            </w:r>
            <w:r w:rsidR="00B653D9" w:rsidRPr="0039577F">
              <w:rPr>
                <w:rFonts w:ascii="Open Sans" w:hAnsi="Open Sans" w:cs="Open Sans"/>
                <w:sz w:val="20"/>
                <w:szCs w:val="20"/>
              </w:rPr>
              <w:t xml:space="preserve">It </w:t>
            </w:r>
            <w:r w:rsidRPr="0039577F">
              <w:rPr>
                <w:rFonts w:ascii="Open Sans" w:hAnsi="Open Sans" w:cs="Open Sans"/>
                <w:sz w:val="20"/>
                <w:szCs w:val="20"/>
              </w:rPr>
              <w:t xml:space="preserve">describes </w:t>
            </w:r>
            <w:r w:rsidR="007370DD" w:rsidRPr="0039577F">
              <w:rPr>
                <w:rFonts w:ascii="Open Sans" w:hAnsi="Open Sans" w:cs="Open Sans"/>
                <w:sz w:val="20"/>
                <w:szCs w:val="20"/>
              </w:rPr>
              <w:t xml:space="preserve">a reporting entity for the purposes of INPAG and provides additional guidance </w:t>
            </w:r>
            <w:r w:rsidR="007370DD" w:rsidRPr="0039577F">
              <w:rPr>
                <w:rFonts w:ascii="Open Sans" w:hAnsi="Open Sans" w:cs="Open Sans"/>
                <w:w w:val="105"/>
                <w:sz w:val="20"/>
                <w:szCs w:val="20"/>
              </w:rPr>
              <w:t>about</w:t>
            </w:r>
            <w:r w:rsidR="007370DD" w:rsidRPr="0039577F">
              <w:rPr>
                <w:rFonts w:ascii="Open Sans" w:hAnsi="Open Sans" w:cs="Open Sans"/>
                <w:spacing w:val="-16"/>
                <w:w w:val="105"/>
                <w:sz w:val="20"/>
                <w:szCs w:val="20"/>
              </w:rPr>
              <w:t xml:space="preserve"> </w:t>
            </w:r>
            <w:r w:rsidR="007370DD" w:rsidRPr="0039577F">
              <w:rPr>
                <w:rFonts w:ascii="Open Sans" w:hAnsi="Open Sans" w:cs="Open Sans"/>
                <w:w w:val="105"/>
                <w:sz w:val="20"/>
                <w:szCs w:val="20"/>
              </w:rPr>
              <w:t>the</w:t>
            </w:r>
            <w:r w:rsidR="007370DD" w:rsidRPr="0039577F">
              <w:rPr>
                <w:rFonts w:ascii="Open Sans" w:hAnsi="Open Sans" w:cs="Open Sans"/>
                <w:spacing w:val="-16"/>
                <w:w w:val="105"/>
                <w:sz w:val="20"/>
                <w:szCs w:val="20"/>
              </w:rPr>
              <w:t xml:space="preserve"> </w:t>
            </w:r>
            <w:proofErr w:type="gramStart"/>
            <w:r w:rsidR="007370DD" w:rsidRPr="0039577F">
              <w:rPr>
                <w:rFonts w:ascii="Open Sans" w:hAnsi="Open Sans" w:cs="Open Sans"/>
                <w:w w:val="105"/>
                <w:sz w:val="20"/>
                <w:szCs w:val="20"/>
              </w:rPr>
              <w:t>sometimes</w:t>
            </w:r>
            <w:r w:rsidR="007370DD" w:rsidRPr="0039577F">
              <w:rPr>
                <w:rFonts w:ascii="Open Sans" w:hAnsi="Open Sans" w:cs="Open Sans"/>
                <w:spacing w:val="-16"/>
                <w:w w:val="105"/>
                <w:sz w:val="20"/>
                <w:szCs w:val="20"/>
              </w:rPr>
              <w:t xml:space="preserve"> </w:t>
            </w:r>
            <w:r w:rsidR="007370DD" w:rsidRPr="0039577F">
              <w:rPr>
                <w:rFonts w:ascii="Open Sans" w:hAnsi="Open Sans" w:cs="Open Sans"/>
                <w:w w:val="105"/>
                <w:sz w:val="20"/>
                <w:szCs w:val="20"/>
              </w:rPr>
              <w:t>complex</w:t>
            </w:r>
            <w:proofErr w:type="gramEnd"/>
            <w:r w:rsidR="007370DD" w:rsidRPr="0039577F">
              <w:rPr>
                <w:rFonts w:ascii="Open Sans" w:hAnsi="Open Sans" w:cs="Open Sans"/>
                <w:spacing w:val="-16"/>
                <w:w w:val="105"/>
                <w:sz w:val="20"/>
                <w:szCs w:val="20"/>
              </w:rPr>
              <w:t xml:space="preserve"> </w:t>
            </w:r>
            <w:r w:rsidR="007370DD" w:rsidRPr="0039577F">
              <w:rPr>
                <w:rFonts w:ascii="Open Sans" w:hAnsi="Open Sans" w:cs="Open Sans"/>
                <w:w w:val="105"/>
                <w:sz w:val="20"/>
                <w:szCs w:val="20"/>
              </w:rPr>
              <w:t>structures</w:t>
            </w:r>
            <w:r w:rsidR="007370DD" w:rsidRPr="0039577F">
              <w:rPr>
                <w:rFonts w:ascii="Open Sans" w:hAnsi="Open Sans" w:cs="Open Sans"/>
                <w:spacing w:val="-16"/>
                <w:w w:val="105"/>
                <w:sz w:val="20"/>
                <w:szCs w:val="20"/>
              </w:rPr>
              <w:t xml:space="preserve"> </w:t>
            </w:r>
            <w:r w:rsidR="007370DD" w:rsidRPr="0039577F">
              <w:rPr>
                <w:rFonts w:ascii="Open Sans" w:hAnsi="Open Sans" w:cs="Open Sans"/>
                <w:w w:val="105"/>
                <w:sz w:val="20"/>
                <w:szCs w:val="20"/>
              </w:rPr>
              <w:t>used</w:t>
            </w:r>
            <w:r w:rsidR="007370DD" w:rsidRPr="0039577F">
              <w:rPr>
                <w:rFonts w:ascii="Open Sans" w:hAnsi="Open Sans" w:cs="Open Sans"/>
                <w:spacing w:val="-16"/>
                <w:w w:val="105"/>
                <w:sz w:val="20"/>
                <w:szCs w:val="20"/>
              </w:rPr>
              <w:t xml:space="preserve"> </w:t>
            </w:r>
            <w:r w:rsidR="007370DD" w:rsidRPr="0039577F">
              <w:rPr>
                <w:rFonts w:ascii="Open Sans" w:hAnsi="Open Sans" w:cs="Open Sans"/>
                <w:w w:val="105"/>
                <w:sz w:val="20"/>
                <w:szCs w:val="20"/>
              </w:rPr>
              <w:t>by</w:t>
            </w:r>
            <w:r w:rsidR="007370DD" w:rsidRPr="0039577F">
              <w:rPr>
                <w:rFonts w:ascii="Open Sans" w:hAnsi="Open Sans" w:cs="Open Sans"/>
                <w:spacing w:val="-16"/>
                <w:w w:val="105"/>
                <w:sz w:val="20"/>
                <w:szCs w:val="20"/>
              </w:rPr>
              <w:t xml:space="preserve"> </w:t>
            </w:r>
            <w:r w:rsidR="007370DD" w:rsidRPr="0039577F">
              <w:rPr>
                <w:rFonts w:ascii="Open Sans" w:hAnsi="Open Sans" w:cs="Open Sans"/>
                <w:w w:val="105"/>
                <w:sz w:val="20"/>
                <w:szCs w:val="20"/>
              </w:rPr>
              <w:t>NPOs</w:t>
            </w:r>
            <w:r w:rsidR="007370DD" w:rsidRPr="0039577F">
              <w:rPr>
                <w:rFonts w:ascii="Open Sans" w:hAnsi="Open Sans" w:cs="Open Sans"/>
                <w:spacing w:val="-16"/>
                <w:w w:val="105"/>
                <w:sz w:val="20"/>
                <w:szCs w:val="20"/>
              </w:rPr>
              <w:t xml:space="preserve"> </w:t>
            </w:r>
            <w:r w:rsidR="007370DD" w:rsidRPr="0039577F">
              <w:rPr>
                <w:rFonts w:ascii="Open Sans" w:hAnsi="Open Sans" w:cs="Open Sans"/>
                <w:w w:val="105"/>
                <w:sz w:val="20"/>
                <w:szCs w:val="20"/>
              </w:rPr>
              <w:t>to</w:t>
            </w:r>
            <w:r w:rsidR="007370DD" w:rsidRPr="0039577F">
              <w:rPr>
                <w:rFonts w:ascii="Open Sans" w:hAnsi="Open Sans" w:cs="Open Sans"/>
                <w:spacing w:val="-16"/>
                <w:w w:val="105"/>
                <w:sz w:val="20"/>
                <w:szCs w:val="20"/>
              </w:rPr>
              <w:t xml:space="preserve"> </w:t>
            </w:r>
            <w:r w:rsidR="007370DD" w:rsidRPr="0039577F">
              <w:rPr>
                <w:rFonts w:ascii="Open Sans" w:hAnsi="Open Sans" w:cs="Open Sans"/>
                <w:w w:val="105"/>
                <w:sz w:val="20"/>
                <w:szCs w:val="20"/>
              </w:rPr>
              <w:t>achieve</w:t>
            </w:r>
            <w:r w:rsidR="007370DD" w:rsidRPr="0039577F">
              <w:rPr>
                <w:rFonts w:ascii="Open Sans" w:hAnsi="Open Sans" w:cs="Open Sans"/>
                <w:spacing w:val="-16"/>
                <w:w w:val="105"/>
                <w:sz w:val="20"/>
                <w:szCs w:val="20"/>
              </w:rPr>
              <w:t xml:space="preserve"> </w:t>
            </w:r>
            <w:r w:rsidR="007370DD" w:rsidRPr="0039577F">
              <w:rPr>
                <w:rFonts w:ascii="Open Sans" w:hAnsi="Open Sans" w:cs="Open Sans"/>
                <w:w w:val="105"/>
                <w:sz w:val="20"/>
                <w:szCs w:val="20"/>
              </w:rPr>
              <w:t>their</w:t>
            </w:r>
            <w:r w:rsidR="007370DD" w:rsidRPr="0039577F">
              <w:rPr>
                <w:rFonts w:ascii="Open Sans" w:hAnsi="Open Sans" w:cs="Open Sans"/>
                <w:spacing w:val="-16"/>
                <w:w w:val="105"/>
                <w:sz w:val="20"/>
                <w:szCs w:val="20"/>
              </w:rPr>
              <w:t xml:space="preserve"> </w:t>
            </w:r>
            <w:r w:rsidR="007370DD" w:rsidRPr="0039577F">
              <w:rPr>
                <w:rFonts w:ascii="Open Sans" w:hAnsi="Open Sans" w:cs="Open Sans"/>
                <w:w w:val="105"/>
                <w:sz w:val="20"/>
                <w:szCs w:val="20"/>
              </w:rPr>
              <w:t>objectives.  It identifies</w:t>
            </w:r>
            <w:r w:rsidR="007370DD" w:rsidRPr="0039577F">
              <w:rPr>
                <w:rFonts w:ascii="Open Sans" w:hAnsi="Open Sans" w:cs="Open Sans"/>
                <w:sz w:val="20"/>
                <w:szCs w:val="20"/>
              </w:rPr>
              <w:t xml:space="preserve"> </w:t>
            </w:r>
            <w:r w:rsidRPr="0039577F">
              <w:rPr>
                <w:rFonts w:ascii="Open Sans" w:hAnsi="Open Sans" w:cs="Open Sans"/>
                <w:sz w:val="20"/>
                <w:szCs w:val="20"/>
              </w:rPr>
              <w:t>the primary users of financial statements and reports, their information needs and</w:t>
            </w:r>
            <w:r w:rsidR="00E36F6E" w:rsidRPr="0039577F">
              <w:rPr>
                <w:rFonts w:ascii="Open Sans" w:hAnsi="Open Sans" w:cs="Open Sans"/>
                <w:sz w:val="20"/>
                <w:szCs w:val="20"/>
              </w:rPr>
              <w:t xml:space="preserve"> </w:t>
            </w:r>
            <w:r w:rsidRPr="0039577F">
              <w:rPr>
                <w:rFonts w:ascii="Open Sans" w:hAnsi="Open Sans" w:cs="Open Sans"/>
                <w:sz w:val="20"/>
                <w:szCs w:val="20"/>
              </w:rPr>
              <w:t>the characteristics of useful information.</w:t>
            </w:r>
            <w:r w:rsidRPr="0039577F">
              <w:rPr>
                <w:rFonts w:ascii="Open Sans" w:hAnsi="Open Sans" w:cs="Open Sans"/>
                <w:spacing w:val="80"/>
                <w:sz w:val="20"/>
                <w:szCs w:val="20"/>
              </w:rPr>
              <w:t xml:space="preserve"> </w:t>
            </w:r>
            <w:r w:rsidRPr="0039577F">
              <w:rPr>
                <w:rFonts w:ascii="Open Sans" w:hAnsi="Open Sans" w:cs="Open Sans"/>
                <w:sz w:val="20"/>
                <w:szCs w:val="20"/>
              </w:rPr>
              <w:t>It also describes the elements of financial statements and how net assets are</w:t>
            </w:r>
            <w:r w:rsidRPr="0039577F">
              <w:rPr>
                <w:rFonts w:ascii="Open Sans" w:hAnsi="Open Sans" w:cs="Open Sans"/>
                <w:spacing w:val="-1"/>
                <w:sz w:val="20"/>
                <w:szCs w:val="20"/>
              </w:rPr>
              <w:t xml:space="preserve"> </w:t>
            </w:r>
            <w:r w:rsidRPr="0039577F">
              <w:rPr>
                <w:rFonts w:ascii="Open Sans" w:hAnsi="Open Sans" w:cs="Open Sans"/>
                <w:sz w:val="20"/>
                <w:szCs w:val="20"/>
              </w:rPr>
              <w:t>derived.</w:t>
            </w:r>
            <w:r w:rsidRPr="0039577F">
              <w:rPr>
                <w:rFonts w:ascii="Open Sans" w:hAnsi="Open Sans" w:cs="Open Sans"/>
                <w:spacing w:val="40"/>
                <w:sz w:val="20"/>
                <w:szCs w:val="20"/>
              </w:rPr>
              <w:t xml:space="preserve"> </w:t>
            </w:r>
            <w:r w:rsidRPr="0039577F">
              <w:rPr>
                <w:rFonts w:ascii="Open Sans" w:hAnsi="Open Sans" w:cs="Open Sans"/>
                <w:sz w:val="20"/>
                <w:szCs w:val="20"/>
              </w:rPr>
              <w:t>It introduces the categorisation of accumulated funds into funds with restrictions and funds without restrictions.</w:t>
            </w:r>
          </w:p>
          <w:p w14:paraId="180AA48A" w14:textId="77777777" w:rsidR="000554EC" w:rsidRPr="0039577F" w:rsidRDefault="000554EC" w:rsidP="00AC16B1">
            <w:pPr>
              <w:pStyle w:val="TableParagraph"/>
              <w:spacing w:before="120" w:after="120" w:line="249" w:lineRule="auto"/>
              <w:ind w:left="0" w:right="291"/>
              <w:rPr>
                <w:rFonts w:ascii="Open Sans" w:hAnsi="Open Sans" w:cs="Open Sans"/>
                <w:sz w:val="20"/>
                <w:szCs w:val="20"/>
              </w:rPr>
            </w:pPr>
          </w:p>
          <w:p w14:paraId="79818045" w14:textId="0B7D66F5" w:rsidR="007A3859" w:rsidRPr="0039577F" w:rsidRDefault="007F48A5" w:rsidP="00AC16B1">
            <w:pPr>
              <w:spacing w:before="120" w:after="120"/>
              <w:jc w:val="both"/>
              <w:rPr>
                <w:rFonts w:ascii="Open Sans" w:hAnsi="Open Sans" w:cs="Open Sans"/>
                <w:b/>
                <w:bCs/>
                <w:sz w:val="20"/>
                <w:szCs w:val="20"/>
                <w:lang w:val="en-US"/>
              </w:rPr>
            </w:pPr>
            <w:r w:rsidRPr="0039577F">
              <w:rPr>
                <w:rFonts w:ascii="Open Sans" w:hAnsi="Open Sans" w:cs="Open Sans"/>
                <w:sz w:val="20"/>
                <w:szCs w:val="20"/>
              </w:rPr>
              <w:t>T</w:t>
            </w:r>
            <w:r w:rsidR="00A96E23" w:rsidRPr="0039577F">
              <w:rPr>
                <w:rFonts w:ascii="Open Sans" w:hAnsi="Open Sans" w:cs="Open Sans"/>
                <w:sz w:val="20"/>
                <w:szCs w:val="20"/>
              </w:rPr>
              <w:t>h</w:t>
            </w:r>
            <w:r w:rsidR="007370DD" w:rsidRPr="0039577F">
              <w:rPr>
                <w:rFonts w:ascii="Open Sans" w:hAnsi="Open Sans" w:cs="Open Sans"/>
                <w:sz w:val="20"/>
                <w:szCs w:val="20"/>
              </w:rPr>
              <w:t>is</w:t>
            </w:r>
            <w:r w:rsidR="00A96E23" w:rsidRPr="0039577F">
              <w:rPr>
                <w:rFonts w:ascii="Open Sans" w:hAnsi="Open Sans" w:cs="Open Sans"/>
                <w:sz w:val="20"/>
                <w:szCs w:val="20"/>
              </w:rPr>
              <w:t xml:space="preserve"> Section</w:t>
            </w:r>
            <w:r w:rsidR="00FC5639" w:rsidRPr="0039577F">
              <w:rPr>
                <w:rFonts w:ascii="Open Sans" w:hAnsi="Open Sans" w:cs="Open Sans"/>
                <w:sz w:val="20"/>
                <w:szCs w:val="20"/>
              </w:rPr>
              <w:t xml:space="preserve"> is most likely to be read by standard setters, auditors, technical accounting advisors and financial accountants.</w:t>
            </w:r>
          </w:p>
        </w:tc>
      </w:tr>
      <w:tr w:rsidR="007A3859" w:rsidRPr="0039577F" w14:paraId="3B0FB587" w14:textId="77777777" w:rsidTr="00E36F6E">
        <w:trPr>
          <w:trHeight w:val="397"/>
        </w:trPr>
        <w:tc>
          <w:tcPr>
            <w:tcW w:w="4388" w:type="dxa"/>
          </w:tcPr>
          <w:p w14:paraId="7D6B4353" w14:textId="77777777" w:rsidR="007A3859" w:rsidRPr="0039577F" w:rsidRDefault="007A3859" w:rsidP="00AC16B1">
            <w:pPr>
              <w:spacing w:before="120" w:after="120"/>
              <w:jc w:val="both"/>
              <w:rPr>
                <w:rFonts w:ascii="Open Sans" w:hAnsi="Open Sans" w:cs="Open Sans"/>
                <w:sz w:val="20"/>
                <w:szCs w:val="20"/>
              </w:rPr>
            </w:pPr>
          </w:p>
        </w:tc>
        <w:tc>
          <w:tcPr>
            <w:tcW w:w="1642" w:type="dxa"/>
            <w:vAlign w:val="center"/>
          </w:tcPr>
          <w:p w14:paraId="1702C689" w14:textId="662134C4" w:rsidR="007A3859" w:rsidRPr="0039577F" w:rsidRDefault="007A3859"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References</w:t>
            </w:r>
          </w:p>
        </w:tc>
        <w:tc>
          <w:tcPr>
            <w:tcW w:w="8282" w:type="dxa"/>
            <w:vAlign w:val="center"/>
          </w:tcPr>
          <w:p w14:paraId="60872127" w14:textId="5B5C5B31" w:rsidR="007A3859" w:rsidRPr="0039577F" w:rsidRDefault="007A3859"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Response</w:t>
            </w:r>
          </w:p>
        </w:tc>
      </w:tr>
      <w:tr w:rsidR="00FE20EA" w:rsidRPr="0039577F" w14:paraId="136848F8" w14:textId="77777777" w:rsidTr="00E36F6E">
        <w:trPr>
          <w:trHeight w:val="397"/>
        </w:trPr>
        <w:tc>
          <w:tcPr>
            <w:tcW w:w="4388" w:type="dxa"/>
          </w:tcPr>
          <w:p w14:paraId="5F32D2A4" w14:textId="0CF15702" w:rsidR="00FE20EA" w:rsidRPr="0039577F" w:rsidRDefault="00FE20EA" w:rsidP="00AC16B1">
            <w:pPr>
              <w:numPr>
                <w:ilvl w:val="0"/>
                <w:numId w:val="2"/>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lastRenderedPageBreak/>
              <w:t>Do you agree with the range of primary users and the description of their needs? If not, what would you propose and why?</w:t>
            </w:r>
          </w:p>
        </w:tc>
        <w:tc>
          <w:tcPr>
            <w:tcW w:w="1642" w:type="dxa"/>
            <w:vAlign w:val="center"/>
          </w:tcPr>
          <w:p w14:paraId="21766F73" w14:textId="77777777" w:rsidR="00FE20EA" w:rsidRPr="0039577F" w:rsidRDefault="00FE20EA" w:rsidP="00AC16B1">
            <w:pPr>
              <w:spacing w:before="120" w:after="120"/>
              <w:jc w:val="both"/>
              <w:rPr>
                <w:rFonts w:ascii="Open Sans" w:hAnsi="Open Sans" w:cs="Open Sans"/>
                <w:sz w:val="20"/>
                <w:szCs w:val="20"/>
                <w:lang w:val="en-US"/>
              </w:rPr>
            </w:pPr>
            <w:r w:rsidRPr="0039577F">
              <w:rPr>
                <w:rFonts w:ascii="Open Sans" w:hAnsi="Open Sans" w:cs="Open Sans"/>
                <w:sz w:val="20"/>
                <w:szCs w:val="20"/>
                <w:lang w:val="en-US"/>
              </w:rPr>
              <w:t>G2.3-G2.12</w:t>
            </w:r>
          </w:p>
          <w:p w14:paraId="3BC7D6E3" w14:textId="77777777" w:rsidR="00FE20EA" w:rsidRPr="0039577F" w:rsidRDefault="00FE20EA" w:rsidP="00AC16B1">
            <w:pPr>
              <w:spacing w:before="120" w:after="120"/>
              <w:rPr>
                <w:rFonts w:ascii="Open Sans" w:hAnsi="Open Sans" w:cs="Open Sans"/>
                <w:b/>
                <w:bCs/>
                <w:sz w:val="20"/>
                <w:szCs w:val="20"/>
                <w:lang w:val="en-US"/>
              </w:rPr>
            </w:pPr>
          </w:p>
        </w:tc>
        <w:tc>
          <w:tcPr>
            <w:tcW w:w="8282" w:type="dxa"/>
            <w:vAlign w:val="center"/>
          </w:tcPr>
          <w:p w14:paraId="7C8B9F39" w14:textId="4CAB6213" w:rsidR="00FE20EA" w:rsidRPr="0039577F" w:rsidRDefault="005B5909"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One of the specified users of the financial statements in the exposure draft are those fulfilling oversight functions. Their needs may extend beyond the other users of the financial statements, for example</w:t>
            </w:r>
            <w:r w:rsidR="000D7A7D" w:rsidRPr="0039577F">
              <w:rPr>
                <w:rFonts w:ascii="Open Sans" w:hAnsi="Open Sans" w:cs="Open Sans"/>
                <w:sz w:val="20"/>
                <w:szCs w:val="20"/>
                <w:lang w:val="en-US"/>
              </w:rPr>
              <w:t>, in the UK, charities are required to report “serious incidents” to the Charit</w:t>
            </w:r>
            <w:r w:rsidR="006A1289">
              <w:rPr>
                <w:rFonts w:ascii="Open Sans" w:hAnsi="Open Sans" w:cs="Open Sans"/>
                <w:sz w:val="20"/>
                <w:szCs w:val="20"/>
                <w:lang w:val="en-US"/>
              </w:rPr>
              <w:t>y</w:t>
            </w:r>
            <w:r w:rsidR="000D7A7D" w:rsidRPr="0039577F">
              <w:rPr>
                <w:rFonts w:ascii="Open Sans" w:hAnsi="Open Sans" w:cs="Open Sans"/>
                <w:sz w:val="20"/>
                <w:szCs w:val="20"/>
                <w:lang w:val="en-US"/>
              </w:rPr>
              <w:t xml:space="preserve"> Commission if there has been significant harm to beneficiaries, staff, volunteers </w:t>
            </w:r>
            <w:proofErr w:type="spellStart"/>
            <w:r w:rsidR="000D7A7D" w:rsidRPr="0039577F">
              <w:rPr>
                <w:rFonts w:ascii="Open Sans" w:hAnsi="Open Sans" w:cs="Open Sans"/>
                <w:sz w:val="20"/>
                <w:szCs w:val="20"/>
                <w:lang w:val="en-US"/>
              </w:rPr>
              <w:t>etc</w:t>
            </w:r>
            <w:proofErr w:type="spellEnd"/>
            <w:r w:rsidR="000D7A7D" w:rsidRPr="0039577F">
              <w:rPr>
                <w:rFonts w:ascii="Open Sans" w:hAnsi="Open Sans" w:cs="Open Sans"/>
                <w:sz w:val="20"/>
                <w:szCs w:val="20"/>
                <w:lang w:val="en-US"/>
              </w:rPr>
              <w:t xml:space="preserve">, or if there has been harm to the charity’s reputation, whether actual or alleged. It is our opinion that this kind of information will not be required to meet the needs of all other users of the </w:t>
            </w:r>
            <w:proofErr w:type="gramStart"/>
            <w:r w:rsidR="000D7A7D" w:rsidRPr="0039577F">
              <w:rPr>
                <w:rFonts w:ascii="Open Sans" w:hAnsi="Open Sans" w:cs="Open Sans"/>
                <w:sz w:val="20"/>
                <w:szCs w:val="20"/>
                <w:lang w:val="en-US"/>
              </w:rPr>
              <w:t>general purpose</w:t>
            </w:r>
            <w:proofErr w:type="gramEnd"/>
            <w:r w:rsidR="000D7A7D" w:rsidRPr="0039577F">
              <w:rPr>
                <w:rFonts w:ascii="Open Sans" w:hAnsi="Open Sans" w:cs="Open Sans"/>
                <w:sz w:val="20"/>
                <w:szCs w:val="20"/>
                <w:lang w:val="en-US"/>
              </w:rPr>
              <w:t xml:space="preserve"> financial statements, and including them in such, in order to meet the needs of those fulfilling oversight functions, would clutter general purpose financial statements and potentially require personal information of beneficiaries staff or volunteers to be published. Therefore, we believe that when drafting the requirements of INPAG, the requirements of those fulfilling oversight functions should be balanced with the needs of other users of the financial statements to ensure unnecessary information is not being required.  </w:t>
            </w:r>
          </w:p>
        </w:tc>
      </w:tr>
      <w:tr w:rsidR="00FE20EA" w:rsidRPr="0039577F" w14:paraId="64A07787" w14:textId="77777777" w:rsidTr="00E36F6E">
        <w:trPr>
          <w:trHeight w:val="397"/>
        </w:trPr>
        <w:tc>
          <w:tcPr>
            <w:tcW w:w="4388" w:type="dxa"/>
          </w:tcPr>
          <w:p w14:paraId="474972C5" w14:textId="7271171D" w:rsidR="00FE20EA" w:rsidRPr="0039577F" w:rsidRDefault="00FE20EA" w:rsidP="00AC16B1">
            <w:pPr>
              <w:numPr>
                <w:ilvl w:val="0"/>
                <w:numId w:val="2"/>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39577F" w:rsidRDefault="00FE20EA" w:rsidP="00AC16B1">
            <w:pPr>
              <w:spacing w:before="120" w:after="120"/>
              <w:jc w:val="both"/>
              <w:rPr>
                <w:rFonts w:ascii="Open Sans" w:hAnsi="Open Sans" w:cs="Open Sans"/>
                <w:sz w:val="20"/>
                <w:szCs w:val="20"/>
              </w:rPr>
            </w:pPr>
            <w:r w:rsidRPr="0039577F">
              <w:rPr>
                <w:rFonts w:ascii="Open Sans" w:hAnsi="Open Sans" w:cs="Open Sans"/>
                <w:sz w:val="20"/>
                <w:szCs w:val="20"/>
              </w:rPr>
              <w:t>G2.13-G2.32, AG2.1-AG2.3</w:t>
            </w:r>
          </w:p>
          <w:p w14:paraId="67C4C967" w14:textId="77777777" w:rsidR="00FE20EA" w:rsidRPr="0039577F" w:rsidRDefault="00FE20EA" w:rsidP="00AC16B1">
            <w:pPr>
              <w:spacing w:before="120" w:after="120"/>
              <w:rPr>
                <w:rFonts w:ascii="Open Sans" w:hAnsi="Open Sans" w:cs="Open Sans"/>
                <w:b/>
                <w:bCs/>
                <w:sz w:val="20"/>
                <w:szCs w:val="20"/>
                <w:lang w:val="en-US"/>
              </w:rPr>
            </w:pPr>
          </w:p>
        </w:tc>
        <w:tc>
          <w:tcPr>
            <w:tcW w:w="8282" w:type="dxa"/>
            <w:vAlign w:val="center"/>
          </w:tcPr>
          <w:p w14:paraId="7BF01814" w14:textId="77777777" w:rsidR="00FE20EA" w:rsidRPr="0039577F" w:rsidRDefault="00EC0040"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In the authoritative guidance for </w:t>
            </w:r>
            <w:r w:rsidR="00AC16B1" w:rsidRPr="0039577F">
              <w:rPr>
                <w:rFonts w:ascii="Open Sans" w:hAnsi="Open Sans" w:cs="Open Sans"/>
                <w:sz w:val="20"/>
                <w:szCs w:val="20"/>
                <w:lang w:val="en-US"/>
              </w:rPr>
              <w:t>faithful</w:t>
            </w:r>
            <w:r w:rsidRPr="0039577F">
              <w:rPr>
                <w:rFonts w:ascii="Open Sans" w:hAnsi="Open Sans" w:cs="Open Sans"/>
                <w:sz w:val="20"/>
                <w:szCs w:val="20"/>
                <w:lang w:val="en-US"/>
              </w:rPr>
              <w:t xml:space="preserve"> representation, </w:t>
            </w:r>
            <w:r w:rsidR="00AC16B1" w:rsidRPr="0039577F">
              <w:rPr>
                <w:rFonts w:ascii="Open Sans" w:hAnsi="Open Sans" w:cs="Open Sans"/>
                <w:sz w:val="20"/>
                <w:szCs w:val="20"/>
                <w:lang w:val="en-US"/>
              </w:rPr>
              <w:t xml:space="preserve">G2.20 states that to be a perfect faithful representation, a depiction would be free from error. It is acknowledged that perfect faithful representation is seldom achieved. We recommend that the wording in the authoritative guidance is updated to reflect that the </w:t>
            </w:r>
            <w:proofErr w:type="gramStart"/>
            <w:r w:rsidR="00AC16B1" w:rsidRPr="0039577F">
              <w:rPr>
                <w:rFonts w:ascii="Open Sans" w:hAnsi="Open Sans" w:cs="Open Sans"/>
                <w:sz w:val="20"/>
                <w:szCs w:val="20"/>
                <w:lang w:val="en-US"/>
              </w:rPr>
              <w:t>general purpose</w:t>
            </w:r>
            <w:proofErr w:type="gramEnd"/>
            <w:r w:rsidR="00AC16B1" w:rsidRPr="0039577F">
              <w:rPr>
                <w:rFonts w:ascii="Open Sans" w:hAnsi="Open Sans" w:cs="Open Sans"/>
                <w:sz w:val="20"/>
                <w:szCs w:val="20"/>
                <w:lang w:val="en-US"/>
              </w:rPr>
              <w:t xml:space="preserve"> financial statements should be free of </w:t>
            </w:r>
            <w:r w:rsidR="00AC16B1" w:rsidRPr="0039577F">
              <w:rPr>
                <w:rFonts w:ascii="Open Sans" w:hAnsi="Open Sans" w:cs="Open Sans"/>
                <w:sz w:val="20"/>
                <w:szCs w:val="20"/>
                <w:u w:val="single"/>
                <w:lang w:val="en-US"/>
              </w:rPr>
              <w:t>material</w:t>
            </w:r>
            <w:r w:rsidR="00AC16B1" w:rsidRPr="0039577F">
              <w:rPr>
                <w:rFonts w:ascii="Open Sans" w:hAnsi="Open Sans" w:cs="Open Sans"/>
                <w:sz w:val="20"/>
                <w:szCs w:val="20"/>
                <w:lang w:val="en-US"/>
              </w:rPr>
              <w:t xml:space="preserve"> error. </w:t>
            </w:r>
          </w:p>
          <w:p w14:paraId="036F6C75" w14:textId="7B270270" w:rsidR="00AC16B1" w:rsidRPr="0039577F" w:rsidRDefault="00AC16B1"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In respect of the enhancing characteristics, we recommend that completeness is also included. </w:t>
            </w:r>
            <w:proofErr w:type="gramStart"/>
            <w:r w:rsidRPr="0039577F">
              <w:rPr>
                <w:rFonts w:ascii="Open Sans" w:hAnsi="Open Sans" w:cs="Open Sans"/>
                <w:sz w:val="20"/>
                <w:szCs w:val="20"/>
                <w:lang w:val="en-US"/>
              </w:rPr>
              <w:t>In order for</w:t>
            </w:r>
            <w:proofErr w:type="gramEnd"/>
            <w:r w:rsidRPr="0039577F">
              <w:rPr>
                <w:rFonts w:ascii="Open Sans" w:hAnsi="Open Sans" w:cs="Open Sans"/>
                <w:sz w:val="20"/>
                <w:szCs w:val="20"/>
                <w:lang w:val="en-US"/>
              </w:rPr>
              <w:t xml:space="preserve"> information to be reliable, the information in the financial statements must be complete in the bounds of materiality. An omission can cause information to be false or misleading and thus deficient in terms of its relevance. </w:t>
            </w:r>
          </w:p>
        </w:tc>
      </w:tr>
      <w:tr w:rsidR="00FE20EA" w:rsidRPr="0039577F" w14:paraId="14E343D4" w14:textId="77777777" w:rsidTr="00E36F6E">
        <w:trPr>
          <w:trHeight w:val="397"/>
        </w:trPr>
        <w:tc>
          <w:tcPr>
            <w:tcW w:w="4388" w:type="dxa"/>
          </w:tcPr>
          <w:p w14:paraId="34BA1346" w14:textId="2F2DF5B4" w:rsidR="00FE20EA" w:rsidRPr="0039577F" w:rsidRDefault="00FE20EA" w:rsidP="00AC16B1">
            <w:pPr>
              <w:numPr>
                <w:ilvl w:val="0"/>
                <w:numId w:val="2"/>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lastRenderedPageBreak/>
              <w:t xml:space="preserve">Do you agree with the components of net assets? If not, why not? </w:t>
            </w:r>
          </w:p>
        </w:tc>
        <w:tc>
          <w:tcPr>
            <w:tcW w:w="1642" w:type="dxa"/>
            <w:vAlign w:val="center"/>
          </w:tcPr>
          <w:p w14:paraId="618234D3" w14:textId="0265D7E8" w:rsidR="00FE20EA" w:rsidRPr="0039577F" w:rsidRDefault="00FE20EA" w:rsidP="00AC16B1">
            <w:pPr>
              <w:spacing w:before="120" w:after="120"/>
              <w:jc w:val="both"/>
              <w:rPr>
                <w:rFonts w:ascii="Open Sans" w:hAnsi="Open Sans" w:cs="Open Sans"/>
                <w:sz w:val="20"/>
                <w:szCs w:val="20"/>
                <w:lang w:val="nl-NL"/>
              </w:rPr>
            </w:pPr>
            <w:r w:rsidRPr="0039577F">
              <w:rPr>
                <w:rFonts w:ascii="Open Sans" w:hAnsi="Open Sans" w:cs="Open Sans"/>
                <w:sz w:val="20"/>
                <w:szCs w:val="20"/>
                <w:lang w:val="nl-NL"/>
              </w:rPr>
              <w:t>G2.73, Diagram 2.2</w:t>
            </w:r>
          </w:p>
        </w:tc>
        <w:tc>
          <w:tcPr>
            <w:tcW w:w="8282" w:type="dxa"/>
            <w:vAlign w:val="center"/>
          </w:tcPr>
          <w:p w14:paraId="5B317F08" w14:textId="46C1909C" w:rsidR="00FE20EA" w:rsidRPr="0039577F" w:rsidRDefault="008F2C10"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Nothing further to add. </w:t>
            </w:r>
          </w:p>
        </w:tc>
      </w:tr>
      <w:tr w:rsidR="00FE20EA" w:rsidRPr="0039577F" w14:paraId="3DD8E7D6" w14:textId="77777777" w:rsidTr="00E36F6E">
        <w:trPr>
          <w:trHeight w:val="397"/>
        </w:trPr>
        <w:tc>
          <w:tcPr>
            <w:tcW w:w="4388" w:type="dxa"/>
          </w:tcPr>
          <w:p w14:paraId="45C87965" w14:textId="090D6CFE" w:rsidR="00FE20EA" w:rsidRPr="0039577F" w:rsidRDefault="00FE20EA" w:rsidP="00AC16B1">
            <w:pPr>
              <w:numPr>
                <w:ilvl w:val="0"/>
                <w:numId w:val="2"/>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39577F" w:rsidRDefault="00FE20EA" w:rsidP="00AC16B1">
            <w:pPr>
              <w:spacing w:before="120" w:after="120"/>
              <w:jc w:val="both"/>
              <w:rPr>
                <w:rFonts w:ascii="Open Sans" w:hAnsi="Open Sans" w:cs="Open Sans"/>
                <w:sz w:val="20"/>
                <w:szCs w:val="20"/>
                <w:lang w:val="nl-NL"/>
              </w:rPr>
            </w:pPr>
            <w:r w:rsidRPr="0039577F">
              <w:rPr>
                <w:rFonts w:ascii="Open Sans" w:hAnsi="Open Sans" w:cs="Open Sans"/>
                <w:sz w:val="20"/>
                <w:szCs w:val="20"/>
                <w:lang w:val="nl-NL"/>
              </w:rPr>
              <w:t>G2.141, AG2.6-AG2.9</w:t>
            </w:r>
          </w:p>
          <w:p w14:paraId="36E5E1A6" w14:textId="77777777" w:rsidR="00FE20EA" w:rsidRPr="0039577F" w:rsidRDefault="00FE20EA" w:rsidP="00AC16B1">
            <w:pPr>
              <w:spacing w:before="120" w:after="120"/>
              <w:rPr>
                <w:rFonts w:ascii="Open Sans" w:hAnsi="Open Sans" w:cs="Open Sans"/>
                <w:b/>
                <w:bCs/>
                <w:sz w:val="20"/>
                <w:szCs w:val="20"/>
                <w:lang w:val="en-US"/>
              </w:rPr>
            </w:pPr>
          </w:p>
        </w:tc>
        <w:tc>
          <w:tcPr>
            <w:tcW w:w="8282" w:type="dxa"/>
            <w:vAlign w:val="center"/>
          </w:tcPr>
          <w:p w14:paraId="2C0E5B7F" w14:textId="4B12E89E" w:rsidR="00FE20EA" w:rsidRPr="0039577F" w:rsidRDefault="008F2C10"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Based on our experience, equity is infrequent in the NPO sector. Where we have had NPO clients with equity, it has been a nominal amount, carrying minimal rights with qualitative disclosure only being made in the </w:t>
            </w:r>
            <w:proofErr w:type="gramStart"/>
            <w:r w:rsidRPr="0039577F">
              <w:rPr>
                <w:rFonts w:ascii="Open Sans" w:hAnsi="Open Sans" w:cs="Open Sans"/>
                <w:sz w:val="20"/>
                <w:szCs w:val="20"/>
                <w:lang w:val="en-US"/>
              </w:rPr>
              <w:t>general purpose</w:t>
            </w:r>
            <w:proofErr w:type="gramEnd"/>
            <w:r w:rsidRPr="0039577F">
              <w:rPr>
                <w:rFonts w:ascii="Open Sans" w:hAnsi="Open Sans" w:cs="Open Sans"/>
                <w:sz w:val="20"/>
                <w:szCs w:val="20"/>
                <w:lang w:val="en-US"/>
              </w:rPr>
              <w:t xml:space="preserve"> financial statements. On that basis, we do not foresee this being a material issue for NPOs. </w:t>
            </w:r>
          </w:p>
        </w:tc>
      </w:tr>
      <w:tr w:rsidR="00FE20EA" w:rsidRPr="0039577F" w14:paraId="20A0AF4C" w14:textId="77777777" w:rsidTr="00E36F6E">
        <w:trPr>
          <w:trHeight w:val="397"/>
        </w:trPr>
        <w:tc>
          <w:tcPr>
            <w:tcW w:w="4388" w:type="dxa"/>
          </w:tcPr>
          <w:p w14:paraId="4AFEFDC8" w14:textId="1BC5A6DC" w:rsidR="00FE20EA" w:rsidRPr="0039577F" w:rsidRDefault="00FE20EA" w:rsidP="00AC16B1">
            <w:pPr>
              <w:numPr>
                <w:ilvl w:val="0"/>
                <w:numId w:val="2"/>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 xml:space="preserve">Do you agree with the categorisation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39577F" w:rsidRDefault="00FE20EA" w:rsidP="00AC16B1">
            <w:pPr>
              <w:spacing w:before="120" w:after="120"/>
              <w:jc w:val="both"/>
              <w:rPr>
                <w:rFonts w:ascii="Open Sans" w:hAnsi="Open Sans" w:cs="Open Sans"/>
                <w:sz w:val="20"/>
                <w:szCs w:val="20"/>
                <w:lang w:val="en-US"/>
              </w:rPr>
            </w:pPr>
            <w:r w:rsidRPr="0039577F">
              <w:rPr>
                <w:rFonts w:ascii="Open Sans" w:hAnsi="Open Sans" w:cs="Open Sans"/>
                <w:sz w:val="20"/>
                <w:szCs w:val="20"/>
                <w:lang w:val="en-US"/>
              </w:rPr>
              <w:t>G2.74-G2.75, AG2.4-AG2.5</w:t>
            </w:r>
          </w:p>
          <w:p w14:paraId="335AC1DE" w14:textId="77777777" w:rsidR="00FE20EA" w:rsidRPr="0039577F" w:rsidRDefault="00FE20EA" w:rsidP="00AC16B1">
            <w:pPr>
              <w:spacing w:before="120" w:after="120"/>
              <w:rPr>
                <w:rFonts w:ascii="Open Sans" w:hAnsi="Open Sans" w:cs="Open Sans"/>
                <w:b/>
                <w:bCs/>
                <w:sz w:val="20"/>
                <w:szCs w:val="20"/>
                <w:lang w:val="en-US"/>
              </w:rPr>
            </w:pPr>
          </w:p>
        </w:tc>
        <w:tc>
          <w:tcPr>
            <w:tcW w:w="8282" w:type="dxa"/>
            <w:vAlign w:val="center"/>
          </w:tcPr>
          <w:p w14:paraId="23B15599" w14:textId="38DD5D5A" w:rsidR="008F2C10" w:rsidRPr="0039577F" w:rsidRDefault="008F2C10"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Yes, we agree that funds on the balance sheet should be presented as those with restrictions and those without. We recommend that INPAG also require NPO</w:t>
            </w:r>
            <w:r w:rsidR="006A1289">
              <w:rPr>
                <w:rFonts w:ascii="Open Sans" w:hAnsi="Open Sans" w:cs="Open Sans"/>
                <w:sz w:val="20"/>
                <w:szCs w:val="20"/>
                <w:lang w:val="en-US"/>
              </w:rPr>
              <w:t>s</w:t>
            </w:r>
            <w:r w:rsidRPr="0039577F">
              <w:rPr>
                <w:rFonts w:ascii="Open Sans" w:hAnsi="Open Sans" w:cs="Open Sans"/>
                <w:sz w:val="20"/>
                <w:szCs w:val="20"/>
                <w:lang w:val="en-US"/>
              </w:rPr>
              <w:t xml:space="preserve"> to disclose accumulated surpluses and deficits for designated funds, being unrestricted funds that the trustees of the NPO </w:t>
            </w:r>
            <w:proofErr w:type="gramStart"/>
            <w:r w:rsidRPr="0039577F">
              <w:rPr>
                <w:rFonts w:ascii="Open Sans" w:hAnsi="Open Sans" w:cs="Open Sans"/>
                <w:sz w:val="20"/>
                <w:szCs w:val="20"/>
                <w:lang w:val="en-US"/>
              </w:rPr>
              <w:t>has</w:t>
            </w:r>
            <w:proofErr w:type="gramEnd"/>
            <w:r w:rsidRPr="0039577F">
              <w:rPr>
                <w:rFonts w:ascii="Open Sans" w:hAnsi="Open Sans" w:cs="Open Sans"/>
                <w:sz w:val="20"/>
                <w:szCs w:val="20"/>
                <w:lang w:val="en-US"/>
              </w:rPr>
              <w:t xml:space="preserve"> set aside for a particular purpose, as we feel that is important for a user</w:t>
            </w:r>
            <w:r w:rsidR="008714D8" w:rsidRPr="0039577F">
              <w:rPr>
                <w:rFonts w:ascii="Open Sans" w:hAnsi="Open Sans" w:cs="Open Sans"/>
                <w:sz w:val="20"/>
                <w:szCs w:val="20"/>
                <w:lang w:val="en-US"/>
              </w:rPr>
              <w:t>’</w:t>
            </w:r>
            <w:r w:rsidRPr="0039577F">
              <w:rPr>
                <w:rFonts w:ascii="Open Sans" w:hAnsi="Open Sans" w:cs="Open Sans"/>
                <w:sz w:val="20"/>
                <w:szCs w:val="20"/>
                <w:lang w:val="en-US"/>
              </w:rPr>
              <w:t xml:space="preserve">s understanding of the general purpose financial statements. </w:t>
            </w:r>
          </w:p>
          <w:p w14:paraId="3BCC1DD1" w14:textId="4C26C8A3" w:rsidR="00FE20EA" w:rsidRPr="0039577F" w:rsidRDefault="008F2C10"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We believe INPAG should also acknowledge that there may be local legal requirements to provide further breakdowns also. For example, in the UK, it is a requirement to disclose, for each material restricted fund, the brought forward fund value, income, expenditure, transfers / gains and the carried forward fund value at the balance sheet date. </w:t>
            </w:r>
          </w:p>
        </w:tc>
      </w:tr>
      <w:tr w:rsidR="00FE20EA" w:rsidRPr="0039577F" w14:paraId="022C1622" w14:textId="77777777" w:rsidTr="00E36F6E">
        <w:trPr>
          <w:trHeight w:val="397"/>
        </w:trPr>
        <w:tc>
          <w:tcPr>
            <w:tcW w:w="4388" w:type="dxa"/>
          </w:tcPr>
          <w:p w14:paraId="08A237ED" w14:textId="4F25B9B3" w:rsidR="00FE20EA" w:rsidRPr="0039577F" w:rsidRDefault="00FE20EA" w:rsidP="00AC16B1">
            <w:pPr>
              <w:numPr>
                <w:ilvl w:val="0"/>
                <w:numId w:val="2"/>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 xml:space="preserve">Do you agree that funds set aside from accumulated surpluses for the holders of equity claims can be part of funds with restrictions and funds without restrictions and that they should be transferred to </w:t>
            </w:r>
            <w:r w:rsidRPr="0039577F">
              <w:rPr>
                <w:rFonts w:ascii="Open Sans" w:hAnsi="Open Sans" w:cs="Open Sans"/>
                <w:sz w:val="20"/>
                <w:szCs w:val="20"/>
                <w:lang w:val="en-US"/>
              </w:rPr>
              <w:lastRenderedPageBreak/>
              <w:t>equity prior to distribution? If not, what would you propose and why?</w:t>
            </w:r>
          </w:p>
        </w:tc>
        <w:tc>
          <w:tcPr>
            <w:tcW w:w="1642" w:type="dxa"/>
            <w:vAlign w:val="center"/>
          </w:tcPr>
          <w:p w14:paraId="1F0EB26D" w14:textId="77777777" w:rsidR="00FE20EA" w:rsidRPr="0039577F" w:rsidRDefault="00FE20EA" w:rsidP="00AC16B1">
            <w:pPr>
              <w:spacing w:before="120" w:after="120"/>
              <w:jc w:val="both"/>
              <w:rPr>
                <w:rFonts w:ascii="Open Sans" w:hAnsi="Open Sans" w:cs="Open Sans"/>
                <w:sz w:val="20"/>
                <w:szCs w:val="20"/>
                <w:lang w:val="en-US"/>
              </w:rPr>
            </w:pPr>
            <w:r w:rsidRPr="0039577F">
              <w:rPr>
                <w:rFonts w:ascii="Open Sans" w:hAnsi="Open Sans" w:cs="Open Sans"/>
                <w:sz w:val="20"/>
                <w:szCs w:val="20"/>
                <w:lang w:val="en-US"/>
              </w:rPr>
              <w:lastRenderedPageBreak/>
              <w:t>G2.142, AG2.8-AG2.9</w:t>
            </w:r>
          </w:p>
          <w:p w14:paraId="52482709" w14:textId="77777777" w:rsidR="00FE20EA" w:rsidRPr="0039577F" w:rsidRDefault="00FE20EA" w:rsidP="00AC16B1">
            <w:pPr>
              <w:spacing w:before="120" w:after="120"/>
              <w:rPr>
                <w:rFonts w:ascii="Open Sans" w:hAnsi="Open Sans" w:cs="Open Sans"/>
                <w:b/>
                <w:bCs/>
                <w:sz w:val="20"/>
                <w:szCs w:val="20"/>
                <w:lang w:val="en-US"/>
              </w:rPr>
            </w:pPr>
          </w:p>
        </w:tc>
        <w:tc>
          <w:tcPr>
            <w:tcW w:w="8282" w:type="dxa"/>
            <w:vAlign w:val="center"/>
          </w:tcPr>
          <w:p w14:paraId="350E56FE" w14:textId="0AC0BF84" w:rsidR="00FE20EA" w:rsidRPr="0039577F" w:rsidRDefault="008714D8"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In line with our response to 3.d, we believe this to be an infrequent occurrence, and in the situations where a nominal amount of equity has been identified in NPOs, there have been no distributions or other transactions with holders of equity. Therefore, we</w:t>
            </w:r>
            <w:r w:rsidR="006A1289">
              <w:rPr>
                <w:rFonts w:ascii="Open Sans" w:hAnsi="Open Sans" w:cs="Open Sans"/>
                <w:sz w:val="20"/>
                <w:szCs w:val="20"/>
                <w:lang w:val="en-US"/>
              </w:rPr>
              <w:t xml:space="preserve"> do</w:t>
            </w:r>
            <w:r w:rsidRPr="0039577F">
              <w:rPr>
                <w:rFonts w:ascii="Open Sans" w:hAnsi="Open Sans" w:cs="Open Sans"/>
                <w:sz w:val="20"/>
                <w:szCs w:val="20"/>
                <w:lang w:val="en-US"/>
              </w:rPr>
              <w:t xml:space="preserve"> not foresee this to be a material issue for NPOs. </w:t>
            </w:r>
          </w:p>
        </w:tc>
      </w:tr>
      <w:tr w:rsidR="00FE20EA" w:rsidRPr="0039577F" w14:paraId="6FA09385" w14:textId="77777777" w:rsidTr="00E36F6E">
        <w:trPr>
          <w:trHeight w:val="397"/>
        </w:trPr>
        <w:tc>
          <w:tcPr>
            <w:tcW w:w="4388" w:type="dxa"/>
          </w:tcPr>
          <w:p w14:paraId="5D8BF3C6" w14:textId="77777777" w:rsidR="00FE20EA" w:rsidRPr="0039577F" w:rsidRDefault="00FE20EA" w:rsidP="00AC16B1">
            <w:pPr>
              <w:numPr>
                <w:ilvl w:val="0"/>
                <w:numId w:val="2"/>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Do you agree that ‘service potential’ should be introduced into Section 2? If not, why not?</w:t>
            </w:r>
          </w:p>
          <w:p w14:paraId="414D491D" w14:textId="77777777" w:rsidR="00FE20EA" w:rsidRPr="0039577F" w:rsidRDefault="00FE20EA" w:rsidP="00AC16B1">
            <w:pPr>
              <w:spacing w:before="120" w:after="120"/>
              <w:jc w:val="both"/>
              <w:rPr>
                <w:rFonts w:ascii="Open Sans" w:hAnsi="Open Sans" w:cs="Open Sans"/>
                <w:sz w:val="20"/>
                <w:szCs w:val="20"/>
              </w:rPr>
            </w:pPr>
          </w:p>
        </w:tc>
        <w:tc>
          <w:tcPr>
            <w:tcW w:w="1642" w:type="dxa"/>
            <w:vAlign w:val="center"/>
          </w:tcPr>
          <w:p w14:paraId="4CFAA6BD" w14:textId="50D807DF" w:rsidR="00FE20EA" w:rsidRPr="0039577F" w:rsidRDefault="00FE20EA" w:rsidP="00AC16B1">
            <w:pPr>
              <w:spacing w:before="120" w:after="120"/>
              <w:jc w:val="both"/>
              <w:rPr>
                <w:rFonts w:ascii="Open Sans" w:hAnsi="Open Sans" w:cs="Open Sans"/>
                <w:sz w:val="20"/>
                <w:szCs w:val="20"/>
                <w:lang w:val="en-US"/>
              </w:rPr>
            </w:pPr>
            <w:r w:rsidRPr="0039577F">
              <w:rPr>
                <w:rFonts w:ascii="Open Sans" w:hAnsi="Open Sans" w:cs="Open Sans"/>
                <w:sz w:val="20"/>
                <w:szCs w:val="20"/>
                <w:lang w:val="en-US"/>
              </w:rPr>
              <w:t>G2.51, G2.54, G2.58, G2.67-G2.68, G2.103, G2.108-G2.110, G2.115-G2.117, G2.122</w:t>
            </w:r>
          </w:p>
        </w:tc>
        <w:tc>
          <w:tcPr>
            <w:tcW w:w="8282" w:type="dxa"/>
            <w:vAlign w:val="center"/>
          </w:tcPr>
          <w:p w14:paraId="46DB8C42" w14:textId="3C7546AF" w:rsidR="00FE20EA" w:rsidRPr="0039577F" w:rsidRDefault="008714D8"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For consistency with the IPSAS, we agree with the introduction of service potential where relevant. </w:t>
            </w:r>
          </w:p>
        </w:tc>
      </w:tr>
      <w:tr w:rsidR="00FE20EA" w:rsidRPr="0039577F" w14:paraId="69EE11BE" w14:textId="77777777" w:rsidTr="00E36F6E">
        <w:trPr>
          <w:trHeight w:val="397"/>
        </w:trPr>
        <w:tc>
          <w:tcPr>
            <w:tcW w:w="4388" w:type="dxa"/>
          </w:tcPr>
          <w:p w14:paraId="4121070A" w14:textId="7EFD465B" w:rsidR="00FE20EA" w:rsidRPr="0039577F" w:rsidRDefault="00FE20EA" w:rsidP="00AC16B1">
            <w:pPr>
              <w:numPr>
                <w:ilvl w:val="0"/>
                <w:numId w:val="2"/>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 xml:space="preserve">Do you agree that the provisions for ‘undue cost and effort’ used in </w:t>
            </w:r>
            <w:r w:rsidR="00A039B2" w:rsidRPr="0039577F">
              <w:rPr>
                <w:rFonts w:ascii="Open Sans" w:hAnsi="Open Sans" w:cs="Open Sans"/>
                <w:sz w:val="20"/>
                <w:szCs w:val="20"/>
                <w:lang w:val="en-US"/>
              </w:rPr>
              <w:t xml:space="preserve">the </w:t>
            </w:r>
            <w:r w:rsidRPr="0039577F">
              <w:rPr>
                <w:rFonts w:ascii="Open Sans" w:hAnsi="Open Sans" w:cs="Open Sans"/>
                <w:i/>
                <w:iCs/>
                <w:sz w:val="20"/>
                <w:szCs w:val="20"/>
                <w:lang w:val="en-US"/>
              </w:rPr>
              <w:t xml:space="preserve">IFRS for SMEs </w:t>
            </w:r>
            <w:r w:rsidR="00A039B2" w:rsidRPr="0039577F">
              <w:rPr>
                <w:rFonts w:ascii="Open Sans" w:hAnsi="Open Sans" w:cs="Open Sans"/>
                <w:sz w:val="20"/>
                <w:szCs w:val="20"/>
                <w:lang w:val="en-US"/>
              </w:rPr>
              <w:t xml:space="preserve">Accounting Standard </w:t>
            </w:r>
            <w:r w:rsidRPr="0039577F">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39577F" w:rsidRDefault="00FE20EA" w:rsidP="00AC16B1">
            <w:pPr>
              <w:spacing w:before="120" w:after="120"/>
              <w:jc w:val="both"/>
              <w:rPr>
                <w:rFonts w:ascii="Open Sans" w:hAnsi="Open Sans" w:cs="Open Sans"/>
                <w:sz w:val="20"/>
                <w:szCs w:val="20"/>
                <w:lang w:val="en-US"/>
              </w:rPr>
            </w:pPr>
            <w:r w:rsidRPr="0039577F">
              <w:rPr>
                <w:rFonts w:ascii="Open Sans" w:hAnsi="Open Sans" w:cs="Open Sans"/>
                <w:sz w:val="20"/>
                <w:szCs w:val="20"/>
                <w:lang w:val="en-US"/>
              </w:rPr>
              <w:t>G2.33-G2.36</w:t>
            </w:r>
          </w:p>
          <w:p w14:paraId="2B17D0B1" w14:textId="77777777" w:rsidR="00FE20EA" w:rsidRPr="0039577F" w:rsidRDefault="00FE20EA" w:rsidP="00AC16B1">
            <w:pPr>
              <w:spacing w:before="120" w:after="120"/>
              <w:rPr>
                <w:rFonts w:ascii="Open Sans" w:hAnsi="Open Sans" w:cs="Open Sans"/>
                <w:b/>
                <w:bCs/>
                <w:sz w:val="20"/>
                <w:szCs w:val="20"/>
                <w:lang w:val="en-US"/>
              </w:rPr>
            </w:pPr>
          </w:p>
        </w:tc>
        <w:tc>
          <w:tcPr>
            <w:tcW w:w="8282" w:type="dxa"/>
            <w:vAlign w:val="center"/>
          </w:tcPr>
          <w:p w14:paraId="6D08D485" w14:textId="65DE573B" w:rsidR="00AC16B1" w:rsidRPr="0039577F" w:rsidRDefault="00AC16B1"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It is our opinion that an “undue cost or effort exemption” should not be included in the proposed standards. In the UK financial reporting standards historically, there has been an undue cost or effort exemptions in certain situations, but it was identified that the exemption was being misused, affecting the reliability and comparability of the financial statements. </w:t>
            </w:r>
          </w:p>
          <w:p w14:paraId="4BADE9C5" w14:textId="38CAE992" w:rsidR="00FE20EA" w:rsidRPr="0039577F" w:rsidRDefault="0029021D"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Therefore, we believe there should be specific simplifications allowed in situations where information is not readily determinable, rather than using such a judgmental term of undue cost or effort. However, we would expect such simplifications to be infrequent.</w:t>
            </w:r>
            <w:r w:rsidR="00A67810" w:rsidRPr="0039577F">
              <w:rPr>
                <w:rFonts w:ascii="Open Sans" w:hAnsi="Open Sans" w:cs="Open Sans"/>
                <w:sz w:val="20"/>
                <w:szCs w:val="20"/>
                <w:lang w:val="en-US"/>
              </w:rPr>
              <w:t xml:space="preserve"> </w:t>
            </w:r>
          </w:p>
        </w:tc>
      </w:tr>
      <w:tr w:rsidR="007A3859" w:rsidRPr="0039577F" w14:paraId="5D011385" w14:textId="5585DA75" w:rsidTr="00A276B0">
        <w:tc>
          <w:tcPr>
            <w:tcW w:w="4388" w:type="dxa"/>
          </w:tcPr>
          <w:p w14:paraId="11CF6923" w14:textId="77777777" w:rsidR="007A3859" w:rsidRPr="0039577F" w:rsidRDefault="007A3859" w:rsidP="00AC16B1">
            <w:pPr>
              <w:numPr>
                <w:ilvl w:val="0"/>
                <w:numId w:val="2"/>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39577F" w:rsidRDefault="007A3859" w:rsidP="00AC16B1">
            <w:pPr>
              <w:spacing w:before="120" w:after="120"/>
              <w:jc w:val="both"/>
              <w:rPr>
                <w:rFonts w:ascii="Open Sans" w:hAnsi="Open Sans" w:cs="Open Sans"/>
                <w:sz w:val="20"/>
                <w:szCs w:val="20"/>
                <w:lang w:val="nl-NL"/>
              </w:rPr>
            </w:pPr>
            <w:r w:rsidRPr="0039577F">
              <w:rPr>
                <w:rFonts w:ascii="Open Sans" w:hAnsi="Open Sans" w:cs="Open Sans"/>
                <w:sz w:val="20"/>
                <w:szCs w:val="20"/>
                <w:lang w:val="nl-NL"/>
              </w:rPr>
              <w:t>G2.43-G2.49, AG2.10-AG2.24.</w:t>
            </w:r>
          </w:p>
          <w:p w14:paraId="147043F4" w14:textId="77777777" w:rsidR="007A3859" w:rsidRPr="0039577F" w:rsidRDefault="007A3859" w:rsidP="00AC16B1">
            <w:pPr>
              <w:spacing w:before="120" w:after="120"/>
              <w:jc w:val="both"/>
              <w:rPr>
                <w:rFonts w:ascii="Open Sans" w:hAnsi="Open Sans" w:cs="Open Sans"/>
                <w:b/>
                <w:bCs/>
                <w:sz w:val="20"/>
                <w:szCs w:val="20"/>
                <w:lang w:val="en-US"/>
              </w:rPr>
            </w:pPr>
          </w:p>
        </w:tc>
        <w:tc>
          <w:tcPr>
            <w:tcW w:w="8282" w:type="dxa"/>
          </w:tcPr>
          <w:p w14:paraId="0AE060DA" w14:textId="16B41645" w:rsidR="00D102FE" w:rsidRPr="0039577F" w:rsidRDefault="007A6067"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Accounting for branches – INPAG provides a list of indicators that a</w:t>
            </w:r>
            <w:r w:rsidR="00D102FE" w:rsidRPr="0039577F">
              <w:rPr>
                <w:rFonts w:ascii="Open Sans" w:hAnsi="Open Sans" w:cs="Open Sans"/>
                <w:sz w:val="20"/>
                <w:szCs w:val="20"/>
                <w:lang w:val="en-US"/>
              </w:rPr>
              <w:t>n</w:t>
            </w:r>
            <w:r w:rsidRPr="0039577F">
              <w:rPr>
                <w:rFonts w:ascii="Open Sans" w:hAnsi="Open Sans" w:cs="Open Sans"/>
                <w:sz w:val="20"/>
                <w:szCs w:val="20"/>
                <w:lang w:val="en-US"/>
              </w:rPr>
              <w:t xml:space="preserve"> operational structure is an internal branch. One of the indicators is whether there is a separate legal structure. However, the guidance states that no one indicator is sufficient to include or exclude a structure as a branch. We believe there may be unintended consequences of this where you have an incorporated subsidiary who is required to separately produce general purpose financial statements, but meets the other </w:t>
            </w:r>
            <w:r w:rsidRPr="0039577F">
              <w:rPr>
                <w:rFonts w:ascii="Open Sans" w:hAnsi="Open Sans" w:cs="Open Sans"/>
                <w:sz w:val="20"/>
                <w:szCs w:val="20"/>
                <w:lang w:val="en-US"/>
              </w:rPr>
              <w:lastRenderedPageBreak/>
              <w:t xml:space="preserve">indicators, may be judged to be treated as a branch rather than a subsidiary. A suggestion to mitigate this risk would be to have some </w:t>
            </w:r>
            <w:r w:rsidR="00D102FE" w:rsidRPr="0039577F">
              <w:rPr>
                <w:rFonts w:ascii="Open Sans" w:hAnsi="Open Sans" w:cs="Open Sans"/>
                <w:sz w:val="20"/>
                <w:szCs w:val="20"/>
                <w:lang w:val="en-US"/>
              </w:rPr>
              <w:t>of the listed indicators</w:t>
            </w:r>
            <w:r w:rsidRPr="0039577F">
              <w:rPr>
                <w:rFonts w:ascii="Open Sans" w:hAnsi="Open Sans" w:cs="Open Sans"/>
                <w:sz w:val="20"/>
                <w:szCs w:val="20"/>
                <w:lang w:val="en-US"/>
              </w:rPr>
              <w:t xml:space="preserve"> be conclusive that the operational structure is not a branch, such </w:t>
            </w:r>
            <w:r w:rsidR="00144390">
              <w:rPr>
                <w:rFonts w:ascii="Open Sans" w:hAnsi="Open Sans" w:cs="Open Sans"/>
                <w:sz w:val="20"/>
                <w:szCs w:val="20"/>
                <w:lang w:val="en-US"/>
              </w:rPr>
              <w:t xml:space="preserve">as </w:t>
            </w:r>
            <w:r w:rsidRPr="0039577F">
              <w:rPr>
                <w:rFonts w:ascii="Open Sans" w:hAnsi="Open Sans" w:cs="Open Sans"/>
                <w:sz w:val="20"/>
                <w:szCs w:val="20"/>
                <w:lang w:val="en-US"/>
              </w:rPr>
              <w:t>that it has a separate legal structure and is required to separately prepare general purpose financial statements</w:t>
            </w:r>
            <w:r w:rsidR="00144390">
              <w:rPr>
                <w:rFonts w:ascii="Open Sans" w:hAnsi="Open Sans" w:cs="Open Sans"/>
                <w:sz w:val="20"/>
                <w:szCs w:val="20"/>
                <w:lang w:val="en-US"/>
              </w:rPr>
              <w:t>;</w:t>
            </w:r>
            <w:r w:rsidRPr="0039577F">
              <w:rPr>
                <w:rFonts w:ascii="Open Sans" w:hAnsi="Open Sans" w:cs="Open Sans"/>
                <w:sz w:val="20"/>
                <w:szCs w:val="20"/>
                <w:lang w:val="en-US"/>
              </w:rPr>
              <w:t xml:space="preserve"> and others which are indicators to which judgement should be applied.</w:t>
            </w:r>
          </w:p>
          <w:p w14:paraId="0B1A96BF" w14:textId="21A5F7B8" w:rsidR="00A67810" w:rsidRPr="0039577F" w:rsidRDefault="00D102FE"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Linked charities - In the UK, there is a concept of linked charities whereby charities </w:t>
            </w:r>
            <w:r w:rsidR="00CE3F32" w:rsidRPr="0039577F">
              <w:rPr>
                <w:rFonts w:ascii="Open Sans" w:hAnsi="Open Sans" w:cs="Open Sans"/>
                <w:sz w:val="20"/>
                <w:szCs w:val="20"/>
                <w:lang w:val="en-US"/>
              </w:rPr>
              <w:t>who</w:t>
            </w:r>
            <w:r w:rsidRPr="0039577F">
              <w:rPr>
                <w:rFonts w:ascii="Open Sans" w:hAnsi="Open Sans" w:cs="Open Sans"/>
                <w:sz w:val="20"/>
                <w:szCs w:val="20"/>
                <w:lang w:val="en-US"/>
              </w:rPr>
              <w:t xml:space="preserve"> provide different aspects of the same service or have the same trustees are linked for administrative purposes. Under the UK Charities SORP (FRS102), it is allowed for a linked charity which is not incorporated, to be treated as a branch. This is to reduce administrative burden o</w:t>
            </w:r>
            <w:r w:rsidR="00CE3F32" w:rsidRPr="0039577F">
              <w:rPr>
                <w:rFonts w:ascii="Open Sans" w:hAnsi="Open Sans" w:cs="Open Sans"/>
                <w:sz w:val="20"/>
                <w:szCs w:val="20"/>
                <w:lang w:val="en-US"/>
              </w:rPr>
              <w:t>f</w:t>
            </w:r>
            <w:r w:rsidRPr="0039577F">
              <w:rPr>
                <w:rFonts w:ascii="Open Sans" w:hAnsi="Open Sans" w:cs="Open Sans"/>
                <w:sz w:val="20"/>
                <w:szCs w:val="20"/>
                <w:lang w:val="en-US"/>
              </w:rPr>
              <w:t xml:space="preserve"> preparing separate financial statements. Whilst this is not a specific requirement under FRS102, we welcome the INPAG approach of the list of indicators as it, in most situations, will lead to the same conclusion being reached.</w:t>
            </w:r>
          </w:p>
        </w:tc>
      </w:tr>
    </w:tbl>
    <w:p w14:paraId="2BBE23EC" w14:textId="56528454" w:rsidR="007A557C" w:rsidRPr="0039577F" w:rsidRDefault="007A557C" w:rsidP="00AC16B1">
      <w:pPr>
        <w:spacing w:before="120" w:after="120"/>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39577F" w14:paraId="0D931D34" w14:textId="77777777" w:rsidTr="004A787C">
        <w:tc>
          <w:tcPr>
            <w:tcW w:w="4388" w:type="dxa"/>
          </w:tcPr>
          <w:p w14:paraId="61D21D3C" w14:textId="7A3C8FFB" w:rsidR="00FE20EA" w:rsidRPr="0039577F" w:rsidRDefault="00FE20EA" w:rsidP="00AC16B1">
            <w:pPr>
              <w:spacing w:before="120" w:after="120"/>
              <w:jc w:val="both"/>
              <w:rPr>
                <w:rFonts w:ascii="Open Sans" w:hAnsi="Open Sans" w:cs="Open Sans"/>
                <w:b/>
                <w:bCs/>
                <w:sz w:val="20"/>
                <w:szCs w:val="20"/>
                <w:lang w:val="en-US"/>
              </w:rPr>
            </w:pPr>
            <w:r w:rsidRPr="0039577F">
              <w:rPr>
                <w:rFonts w:ascii="Open Sans" w:hAnsi="Open Sans" w:cs="Open Sans"/>
                <w:b/>
                <w:bCs/>
                <w:sz w:val="20"/>
                <w:szCs w:val="20"/>
                <w:lang w:val="en-US"/>
              </w:rPr>
              <w:t xml:space="preserve">Question 4: Principles to enable comparability of financial statements </w:t>
            </w:r>
          </w:p>
          <w:p w14:paraId="658F3670" w14:textId="54B87BAF" w:rsidR="00FE20EA" w:rsidRPr="0039577F" w:rsidRDefault="00FE20EA" w:rsidP="00AC16B1">
            <w:pPr>
              <w:spacing w:before="120" w:after="120"/>
              <w:jc w:val="both"/>
              <w:rPr>
                <w:rFonts w:ascii="Open Sans" w:hAnsi="Open Sans" w:cs="Open Sans"/>
                <w:b/>
                <w:bCs/>
                <w:sz w:val="20"/>
                <w:szCs w:val="20"/>
                <w:lang w:val="en-US"/>
              </w:rPr>
            </w:pPr>
          </w:p>
        </w:tc>
        <w:tc>
          <w:tcPr>
            <w:tcW w:w="9924" w:type="dxa"/>
          </w:tcPr>
          <w:p w14:paraId="1DEFA4D4" w14:textId="3A746817" w:rsidR="00FE20EA" w:rsidRPr="0039577F" w:rsidRDefault="00297E2C" w:rsidP="00AC16B1">
            <w:pPr>
              <w:pStyle w:val="TableParagraph"/>
              <w:spacing w:before="120" w:after="120" w:line="254" w:lineRule="auto"/>
              <w:ind w:left="0"/>
              <w:rPr>
                <w:rFonts w:ascii="Open Sans" w:hAnsi="Open Sans" w:cs="Open Sans"/>
                <w:b/>
                <w:bCs/>
                <w:sz w:val="20"/>
                <w:szCs w:val="20"/>
              </w:rPr>
            </w:pPr>
            <w:r w:rsidRPr="0039577F">
              <w:rPr>
                <w:rFonts w:ascii="Open Sans" w:hAnsi="Open Sans" w:cs="Open Sans"/>
                <w:sz w:val="20"/>
                <w:szCs w:val="20"/>
              </w:rPr>
              <w:t xml:space="preserve">This Section provides the principles behind the development of financial statements, including consideration of </w:t>
            </w:r>
            <w:r w:rsidRPr="0039577F">
              <w:rPr>
                <w:rFonts w:ascii="Open Sans" w:hAnsi="Open Sans" w:cs="Open Sans"/>
                <w:spacing w:val="-2"/>
                <w:w w:val="105"/>
                <w:sz w:val="20"/>
                <w:szCs w:val="20"/>
              </w:rPr>
              <w:t>whether</w:t>
            </w:r>
            <w:r w:rsidRPr="0039577F">
              <w:rPr>
                <w:rFonts w:ascii="Open Sans" w:hAnsi="Open Sans" w:cs="Open Sans"/>
                <w:spacing w:val="-10"/>
                <w:w w:val="105"/>
                <w:sz w:val="20"/>
                <w:szCs w:val="20"/>
              </w:rPr>
              <w:t xml:space="preserve"> </w:t>
            </w:r>
            <w:r w:rsidRPr="0039577F">
              <w:rPr>
                <w:rFonts w:ascii="Open Sans" w:hAnsi="Open Sans" w:cs="Open Sans"/>
                <w:spacing w:val="-2"/>
                <w:w w:val="105"/>
                <w:sz w:val="20"/>
                <w:szCs w:val="20"/>
              </w:rPr>
              <w:t>an</w:t>
            </w:r>
            <w:r w:rsidRPr="0039577F">
              <w:rPr>
                <w:rFonts w:ascii="Open Sans" w:hAnsi="Open Sans" w:cs="Open Sans"/>
                <w:spacing w:val="-9"/>
                <w:w w:val="105"/>
                <w:sz w:val="20"/>
                <w:szCs w:val="20"/>
              </w:rPr>
              <w:t xml:space="preserve"> </w:t>
            </w:r>
            <w:r w:rsidRPr="0039577F">
              <w:rPr>
                <w:rFonts w:ascii="Open Sans" w:hAnsi="Open Sans" w:cs="Open Sans"/>
                <w:spacing w:val="-2"/>
                <w:w w:val="105"/>
                <w:sz w:val="20"/>
                <w:szCs w:val="20"/>
              </w:rPr>
              <w:t>entity</w:t>
            </w:r>
            <w:r w:rsidRPr="0039577F">
              <w:rPr>
                <w:rFonts w:ascii="Open Sans" w:hAnsi="Open Sans" w:cs="Open Sans"/>
                <w:spacing w:val="-10"/>
                <w:w w:val="105"/>
                <w:sz w:val="20"/>
                <w:szCs w:val="20"/>
              </w:rPr>
              <w:t xml:space="preserve"> </w:t>
            </w:r>
            <w:r w:rsidRPr="0039577F">
              <w:rPr>
                <w:rFonts w:ascii="Open Sans" w:hAnsi="Open Sans" w:cs="Open Sans"/>
                <w:spacing w:val="-2"/>
                <w:w w:val="105"/>
                <w:sz w:val="20"/>
                <w:szCs w:val="20"/>
              </w:rPr>
              <w:t>is</w:t>
            </w:r>
            <w:r w:rsidRPr="0039577F">
              <w:rPr>
                <w:rFonts w:ascii="Open Sans" w:hAnsi="Open Sans" w:cs="Open Sans"/>
                <w:spacing w:val="-9"/>
                <w:w w:val="105"/>
                <w:sz w:val="20"/>
                <w:szCs w:val="20"/>
              </w:rPr>
              <w:t xml:space="preserve"> </w:t>
            </w:r>
            <w:r w:rsidRPr="0039577F">
              <w:rPr>
                <w:rFonts w:ascii="Open Sans" w:hAnsi="Open Sans" w:cs="Open Sans"/>
                <w:spacing w:val="-2"/>
                <w:w w:val="105"/>
                <w:sz w:val="20"/>
                <w:szCs w:val="20"/>
              </w:rPr>
              <w:t>a</w:t>
            </w:r>
            <w:r w:rsidRPr="0039577F">
              <w:rPr>
                <w:rFonts w:ascii="Open Sans" w:hAnsi="Open Sans" w:cs="Open Sans"/>
                <w:spacing w:val="-8"/>
                <w:w w:val="105"/>
                <w:sz w:val="20"/>
                <w:szCs w:val="20"/>
              </w:rPr>
              <w:t xml:space="preserve"> </w:t>
            </w:r>
            <w:r w:rsidRPr="0039577F">
              <w:rPr>
                <w:rFonts w:ascii="Open Sans" w:hAnsi="Open Sans" w:cs="Open Sans"/>
                <w:spacing w:val="-2"/>
                <w:w w:val="105"/>
                <w:sz w:val="20"/>
                <w:szCs w:val="20"/>
              </w:rPr>
              <w:t>going</w:t>
            </w:r>
            <w:r w:rsidRPr="0039577F">
              <w:rPr>
                <w:rFonts w:ascii="Open Sans" w:hAnsi="Open Sans" w:cs="Open Sans"/>
                <w:spacing w:val="-9"/>
                <w:w w:val="105"/>
                <w:sz w:val="20"/>
                <w:szCs w:val="20"/>
              </w:rPr>
              <w:t xml:space="preserve"> </w:t>
            </w:r>
            <w:r w:rsidRPr="0039577F">
              <w:rPr>
                <w:rFonts w:ascii="Open Sans" w:hAnsi="Open Sans" w:cs="Open Sans"/>
                <w:spacing w:val="-2"/>
                <w:w w:val="105"/>
                <w:sz w:val="20"/>
                <w:szCs w:val="20"/>
              </w:rPr>
              <w:t>concern.</w:t>
            </w:r>
            <w:r w:rsidRPr="0039577F">
              <w:rPr>
                <w:rFonts w:ascii="Open Sans" w:hAnsi="Open Sans" w:cs="Open Sans"/>
                <w:spacing w:val="-9"/>
                <w:w w:val="105"/>
                <w:sz w:val="20"/>
                <w:szCs w:val="20"/>
              </w:rPr>
              <w:t xml:space="preserve"> </w:t>
            </w:r>
            <w:r w:rsidRPr="0039577F">
              <w:rPr>
                <w:rFonts w:ascii="Open Sans" w:hAnsi="Open Sans" w:cs="Open Sans"/>
                <w:w w:val="105"/>
                <w:sz w:val="20"/>
                <w:szCs w:val="20"/>
              </w:rPr>
              <w:t>It</w:t>
            </w:r>
            <w:r w:rsidRPr="0039577F">
              <w:rPr>
                <w:rFonts w:ascii="Open Sans" w:hAnsi="Open Sans" w:cs="Open Sans"/>
                <w:spacing w:val="-14"/>
                <w:w w:val="105"/>
                <w:sz w:val="20"/>
                <w:szCs w:val="20"/>
              </w:rPr>
              <w:t xml:space="preserve"> </w:t>
            </w:r>
            <w:r w:rsidRPr="0039577F">
              <w:rPr>
                <w:rFonts w:ascii="Open Sans" w:hAnsi="Open Sans" w:cs="Open Sans"/>
                <w:w w:val="105"/>
                <w:sz w:val="20"/>
                <w:szCs w:val="20"/>
              </w:rPr>
              <w:t>looks</w:t>
            </w:r>
            <w:r w:rsidRPr="0039577F">
              <w:rPr>
                <w:rFonts w:ascii="Open Sans" w:hAnsi="Open Sans" w:cs="Open Sans"/>
                <w:spacing w:val="-12"/>
                <w:w w:val="105"/>
                <w:sz w:val="20"/>
                <w:szCs w:val="20"/>
              </w:rPr>
              <w:t xml:space="preserve"> </w:t>
            </w:r>
            <w:r w:rsidRPr="0039577F">
              <w:rPr>
                <w:rFonts w:ascii="Open Sans" w:hAnsi="Open Sans" w:cs="Open Sans"/>
                <w:w w:val="105"/>
                <w:sz w:val="20"/>
                <w:szCs w:val="20"/>
              </w:rPr>
              <w:t>at</w:t>
            </w:r>
            <w:r w:rsidRPr="0039577F">
              <w:rPr>
                <w:rFonts w:ascii="Open Sans" w:hAnsi="Open Sans" w:cs="Open Sans"/>
                <w:spacing w:val="-14"/>
                <w:w w:val="105"/>
                <w:sz w:val="20"/>
                <w:szCs w:val="20"/>
              </w:rPr>
              <w:t xml:space="preserve"> </w:t>
            </w:r>
            <w:r w:rsidRPr="0039577F">
              <w:rPr>
                <w:rFonts w:ascii="Open Sans" w:hAnsi="Open Sans" w:cs="Open Sans"/>
                <w:w w:val="105"/>
                <w:sz w:val="20"/>
                <w:szCs w:val="20"/>
              </w:rPr>
              <w:t>the</w:t>
            </w:r>
            <w:r w:rsidRPr="0039577F">
              <w:rPr>
                <w:rFonts w:ascii="Open Sans" w:hAnsi="Open Sans" w:cs="Open Sans"/>
                <w:spacing w:val="-13"/>
                <w:w w:val="105"/>
                <w:sz w:val="20"/>
                <w:szCs w:val="20"/>
              </w:rPr>
              <w:t xml:space="preserve"> </w:t>
            </w:r>
            <w:r w:rsidRPr="0039577F">
              <w:rPr>
                <w:rFonts w:ascii="Open Sans" w:hAnsi="Open Sans" w:cs="Open Sans"/>
                <w:w w:val="105"/>
                <w:sz w:val="20"/>
                <w:szCs w:val="20"/>
              </w:rPr>
              <w:t>ability</w:t>
            </w:r>
            <w:r w:rsidRPr="0039577F">
              <w:rPr>
                <w:rFonts w:ascii="Open Sans" w:hAnsi="Open Sans" w:cs="Open Sans"/>
                <w:spacing w:val="-13"/>
                <w:w w:val="105"/>
                <w:sz w:val="20"/>
                <w:szCs w:val="20"/>
              </w:rPr>
              <w:t xml:space="preserve"> </w:t>
            </w:r>
            <w:r w:rsidRPr="0039577F">
              <w:rPr>
                <w:rFonts w:ascii="Open Sans" w:hAnsi="Open Sans" w:cs="Open Sans"/>
                <w:w w:val="105"/>
                <w:sz w:val="20"/>
                <w:szCs w:val="20"/>
              </w:rPr>
              <w:t>to</w:t>
            </w:r>
            <w:r w:rsidRPr="0039577F">
              <w:rPr>
                <w:rFonts w:ascii="Open Sans" w:hAnsi="Open Sans" w:cs="Open Sans"/>
                <w:spacing w:val="-11"/>
                <w:w w:val="105"/>
                <w:sz w:val="20"/>
                <w:szCs w:val="20"/>
              </w:rPr>
              <w:t xml:space="preserve"> </w:t>
            </w:r>
            <w:r w:rsidRPr="0039577F">
              <w:rPr>
                <w:rFonts w:ascii="Open Sans" w:hAnsi="Open Sans" w:cs="Open Sans"/>
                <w:w w:val="105"/>
                <w:sz w:val="20"/>
                <w:szCs w:val="20"/>
              </w:rPr>
              <w:t>compare</w:t>
            </w:r>
            <w:r w:rsidRPr="0039577F">
              <w:rPr>
                <w:rFonts w:ascii="Open Sans" w:hAnsi="Open Sans" w:cs="Open Sans"/>
                <w:spacing w:val="-13"/>
                <w:w w:val="105"/>
                <w:sz w:val="20"/>
                <w:szCs w:val="20"/>
              </w:rPr>
              <w:t xml:space="preserve"> </w:t>
            </w:r>
            <w:r w:rsidRPr="0039577F">
              <w:rPr>
                <w:rFonts w:ascii="Open Sans" w:hAnsi="Open Sans" w:cs="Open Sans"/>
                <w:w w:val="105"/>
                <w:sz w:val="20"/>
                <w:szCs w:val="20"/>
              </w:rPr>
              <w:t>financial</w:t>
            </w:r>
            <w:r w:rsidRPr="0039577F">
              <w:rPr>
                <w:rFonts w:ascii="Open Sans" w:hAnsi="Open Sans" w:cs="Open Sans"/>
                <w:spacing w:val="-12"/>
                <w:w w:val="105"/>
                <w:sz w:val="20"/>
                <w:szCs w:val="20"/>
              </w:rPr>
              <w:t xml:space="preserve"> </w:t>
            </w:r>
            <w:r w:rsidRPr="0039577F">
              <w:rPr>
                <w:rFonts w:ascii="Open Sans" w:hAnsi="Open Sans" w:cs="Open Sans"/>
                <w:w w:val="105"/>
                <w:sz w:val="20"/>
                <w:szCs w:val="20"/>
              </w:rPr>
              <w:t>statements</w:t>
            </w:r>
            <w:r w:rsidRPr="0039577F">
              <w:rPr>
                <w:rFonts w:ascii="Open Sans" w:hAnsi="Open Sans" w:cs="Open Sans"/>
                <w:spacing w:val="-12"/>
                <w:w w:val="105"/>
                <w:sz w:val="20"/>
                <w:szCs w:val="20"/>
              </w:rPr>
              <w:t xml:space="preserve"> </w:t>
            </w:r>
            <w:r w:rsidRPr="0039577F">
              <w:rPr>
                <w:rFonts w:ascii="Open Sans" w:hAnsi="Open Sans" w:cs="Open Sans"/>
                <w:w w:val="105"/>
                <w:sz w:val="20"/>
                <w:szCs w:val="20"/>
              </w:rPr>
              <w:t>and</w:t>
            </w:r>
            <w:r w:rsidRPr="0039577F">
              <w:rPr>
                <w:rFonts w:ascii="Open Sans" w:hAnsi="Open Sans" w:cs="Open Sans"/>
                <w:spacing w:val="-13"/>
                <w:w w:val="105"/>
                <w:sz w:val="20"/>
                <w:szCs w:val="20"/>
              </w:rPr>
              <w:t xml:space="preserve"> </w:t>
            </w:r>
            <w:r w:rsidRPr="0039577F">
              <w:rPr>
                <w:rFonts w:ascii="Open Sans" w:hAnsi="Open Sans" w:cs="Open Sans"/>
                <w:w w:val="105"/>
                <w:sz w:val="20"/>
                <w:szCs w:val="20"/>
              </w:rPr>
              <w:t>sets</w:t>
            </w:r>
            <w:r w:rsidRPr="0039577F">
              <w:rPr>
                <w:rFonts w:ascii="Open Sans" w:hAnsi="Open Sans" w:cs="Open Sans"/>
                <w:spacing w:val="-12"/>
                <w:w w:val="105"/>
                <w:sz w:val="20"/>
                <w:szCs w:val="20"/>
              </w:rPr>
              <w:t xml:space="preserve"> </w:t>
            </w:r>
            <w:r w:rsidRPr="0039577F">
              <w:rPr>
                <w:rFonts w:ascii="Open Sans" w:hAnsi="Open Sans" w:cs="Open Sans"/>
                <w:w w:val="105"/>
                <w:sz w:val="20"/>
                <w:szCs w:val="20"/>
              </w:rPr>
              <w:t>out</w:t>
            </w:r>
            <w:r w:rsidRPr="0039577F">
              <w:rPr>
                <w:rFonts w:ascii="Open Sans" w:hAnsi="Open Sans" w:cs="Open Sans"/>
                <w:spacing w:val="-14"/>
                <w:w w:val="105"/>
                <w:sz w:val="20"/>
                <w:szCs w:val="20"/>
              </w:rPr>
              <w:t xml:space="preserve"> </w:t>
            </w:r>
            <w:r w:rsidRPr="0039577F">
              <w:rPr>
                <w:rFonts w:ascii="Open Sans" w:hAnsi="Open Sans" w:cs="Open Sans"/>
                <w:w w:val="105"/>
                <w:sz w:val="20"/>
                <w:szCs w:val="20"/>
              </w:rPr>
              <w:t>the</w:t>
            </w:r>
            <w:r w:rsidRPr="0039577F">
              <w:rPr>
                <w:rFonts w:ascii="Open Sans" w:hAnsi="Open Sans" w:cs="Open Sans"/>
                <w:spacing w:val="-13"/>
                <w:w w:val="105"/>
                <w:sz w:val="20"/>
                <w:szCs w:val="20"/>
              </w:rPr>
              <w:t xml:space="preserve"> </w:t>
            </w:r>
            <w:r w:rsidRPr="0039577F">
              <w:rPr>
                <w:rFonts w:ascii="Open Sans" w:hAnsi="Open Sans" w:cs="Open Sans"/>
                <w:w w:val="105"/>
                <w:sz w:val="20"/>
                <w:szCs w:val="20"/>
              </w:rPr>
              <w:t>principles</w:t>
            </w:r>
            <w:r w:rsidRPr="0039577F">
              <w:rPr>
                <w:rFonts w:ascii="Open Sans" w:hAnsi="Open Sans" w:cs="Open Sans"/>
                <w:spacing w:val="-12"/>
                <w:w w:val="105"/>
                <w:sz w:val="20"/>
                <w:szCs w:val="20"/>
              </w:rPr>
              <w:t xml:space="preserve"> </w:t>
            </w:r>
            <w:r w:rsidRPr="0039577F">
              <w:rPr>
                <w:rFonts w:ascii="Open Sans" w:hAnsi="Open Sans" w:cs="Open Sans"/>
                <w:w w:val="105"/>
                <w:sz w:val="20"/>
                <w:szCs w:val="20"/>
              </w:rPr>
              <w:t>of</w:t>
            </w:r>
            <w:r w:rsidRPr="0039577F">
              <w:rPr>
                <w:rFonts w:ascii="Open Sans" w:hAnsi="Open Sans" w:cs="Open Sans"/>
                <w:spacing w:val="-13"/>
                <w:w w:val="105"/>
                <w:sz w:val="20"/>
                <w:szCs w:val="20"/>
              </w:rPr>
              <w:t xml:space="preserve"> </w:t>
            </w:r>
            <w:r w:rsidRPr="0039577F">
              <w:rPr>
                <w:rFonts w:ascii="Open Sans" w:hAnsi="Open Sans" w:cs="Open Sans"/>
                <w:w w:val="105"/>
                <w:sz w:val="20"/>
                <w:szCs w:val="20"/>
              </w:rPr>
              <w:t>comparability</w:t>
            </w:r>
            <w:r w:rsidRPr="0039577F">
              <w:rPr>
                <w:rFonts w:ascii="Open Sans" w:hAnsi="Open Sans" w:cs="Open Sans"/>
                <w:spacing w:val="-13"/>
                <w:w w:val="105"/>
                <w:sz w:val="20"/>
                <w:szCs w:val="20"/>
              </w:rPr>
              <w:t xml:space="preserve"> </w:t>
            </w:r>
            <w:r w:rsidRPr="0039577F">
              <w:rPr>
                <w:rFonts w:ascii="Open Sans" w:hAnsi="Open Sans" w:cs="Open Sans"/>
                <w:w w:val="105"/>
                <w:sz w:val="20"/>
                <w:szCs w:val="20"/>
              </w:rPr>
              <w:t xml:space="preserve">and </w:t>
            </w:r>
            <w:r w:rsidRPr="0039577F">
              <w:rPr>
                <w:rFonts w:ascii="Open Sans" w:hAnsi="Open Sans" w:cs="Open Sans"/>
                <w:sz w:val="20"/>
                <w:szCs w:val="20"/>
              </w:rPr>
              <w:t>consistency.</w:t>
            </w:r>
            <w:r w:rsidRPr="0039577F">
              <w:rPr>
                <w:rFonts w:ascii="Open Sans" w:hAnsi="Open Sans" w:cs="Open Sans"/>
                <w:spacing w:val="80"/>
                <w:sz w:val="20"/>
                <w:szCs w:val="20"/>
              </w:rPr>
              <w:t xml:space="preserve"> </w:t>
            </w:r>
            <w:r w:rsidRPr="0039577F">
              <w:rPr>
                <w:rFonts w:ascii="Open Sans" w:hAnsi="Open Sans" w:cs="Open Sans"/>
                <w:sz w:val="20"/>
                <w:szCs w:val="20"/>
              </w:rPr>
              <w:t>Comparatives are identified as being necessary for financial statements and narrative reports. This Section also looks at the ability to express compliance with INPAG</w:t>
            </w:r>
            <w:r w:rsidRPr="0039577F">
              <w:rPr>
                <w:rFonts w:ascii="Open Sans" w:hAnsi="Open Sans" w:cs="Open Sans"/>
                <w:spacing w:val="-2"/>
                <w:w w:val="105"/>
                <w:sz w:val="20"/>
                <w:szCs w:val="20"/>
              </w:rPr>
              <w:t>.</w:t>
            </w:r>
            <w:r w:rsidR="008137C0" w:rsidRPr="0039577F">
              <w:rPr>
                <w:rFonts w:ascii="Open Sans" w:hAnsi="Open Sans" w:cs="Open Sans"/>
                <w:spacing w:val="-2"/>
                <w:w w:val="105"/>
                <w:sz w:val="20"/>
                <w:szCs w:val="20"/>
              </w:rPr>
              <w:t xml:space="preserve"> It</w:t>
            </w:r>
            <w:r w:rsidR="008137C0" w:rsidRPr="0039577F">
              <w:rPr>
                <w:rFonts w:ascii="Open Sans" w:hAnsi="Open Sans" w:cs="Open Sans"/>
                <w:spacing w:val="-10"/>
                <w:w w:val="105"/>
                <w:sz w:val="20"/>
                <w:szCs w:val="20"/>
              </w:rPr>
              <w:t xml:space="preserve"> also </w:t>
            </w:r>
            <w:r w:rsidR="008137C0" w:rsidRPr="0039577F">
              <w:rPr>
                <w:rFonts w:ascii="Open Sans" w:hAnsi="Open Sans" w:cs="Open Sans"/>
                <w:spacing w:val="-2"/>
                <w:w w:val="105"/>
                <w:sz w:val="20"/>
                <w:szCs w:val="20"/>
              </w:rPr>
              <w:t>considers NPO-specific</w:t>
            </w:r>
            <w:r w:rsidR="008137C0" w:rsidRPr="0039577F">
              <w:rPr>
                <w:rFonts w:ascii="Open Sans" w:hAnsi="Open Sans" w:cs="Open Sans"/>
                <w:spacing w:val="-9"/>
                <w:w w:val="105"/>
                <w:sz w:val="20"/>
                <w:szCs w:val="20"/>
              </w:rPr>
              <w:t xml:space="preserve"> </w:t>
            </w:r>
            <w:r w:rsidR="008137C0" w:rsidRPr="0039577F">
              <w:rPr>
                <w:rFonts w:ascii="Open Sans" w:hAnsi="Open Sans" w:cs="Open Sans"/>
                <w:spacing w:val="-2"/>
                <w:w w:val="105"/>
                <w:sz w:val="20"/>
                <w:szCs w:val="20"/>
              </w:rPr>
              <w:t>terminology.</w:t>
            </w:r>
          </w:p>
        </w:tc>
      </w:tr>
    </w:tbl>
    <w:p w14:paraId="686F4624" w14:textId="77777777" w:rsidR="006A4A3D" w:rsidRPr="0039577F" w:rsidRDefault="006A4A3D" w:rsidP="00AC16B1">
      <w:pPr>
        <w:spacing w:before="120" w:after="120"/>
      </w:pPr>
      <w:r w:rsidRPr="0039577F">
        <w:br w:type="page"/>
      </w:r>
    </w:p>
    <w:tbl>
      <w:tblPr>
        <w:tblStyle w:val="TableGrid"/>
        <w:tblW w:w="14312" w:type="dxa"/>
        <w:tblLook w:val="04A0" w:firstRow="1" w:lastRow="0" w:firstColumn="1" w:lastColumn="0" w:noHBand="0" w:noVBand="1"/>
      </w:tblPr>
      <w:tblGrid>
        <w:gridCol w:w="4388"/>
        <w:gridCol w:w="1642"/>
        <w:gridCol w:w="8282"/>
      </w:tblGrid>
      <w:tr w:rsidR="00FE20EA" w:rsidRPr="0039577F" w14:paraId="7B33917F" w14:textId="77777777" w:rsidTr="00A276B0">
        <w:tc>
          <w:tcPr>
            <w:tcW w:w="4388" w:type="dxa"/>
          </w:tcPr>
          <w:p w14:paraId="5CFC9F03" w14:textId="36AB65DB" w:rsidR="00FE20EA" w:rsidRPr="0039577F" w:rsidRDefault="00FE20EA" w:rsidP="00AC16B1">
            <w:pPr>
              <w:spacing w:before="120" w:after="120"/>
              <w:jc w:val="both"/>
              <w:rPr>
                <w:rFonts w:ascii="Open Sans" w:hAnsi="Open Sans" w:cs="Open Sans"/>
                <w:b/>
                <w:bCs/>
                <w:sz w:val="20"/>
                <w:szCs w:val="20"/>
                <w:lang w:val="en-US"/>
              </w:rPr>
            </w:pPr>
          </w:p>
        </w:tc>
        <w:tc>
          <w:tcPr>
            <w:tcW w:w="1642" w:type="dxa"/>
          </w:tcPr>
          <w:p w14:paraId="626D1D1D" w14:textId="7B7ED952" w:rsidR="00FE20EA" w:rsidRPr="0039577F" w:rsidRDefault="00FE20EA"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References</w:t>
            </w:r>
          </w:p>
        </w:tc>
        <w:tc>
          <w:tcPr>
            <w:tcW w:w="8282" w:type="dxa"/>
          </w:tcPr>
          <w:p w14:paraId="0F02D860" w14:textId="4C641806" w:rsidR="00FE20EA" w:rsidRPr="0039577F" w:rsidRDefault="00FE20EA"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Response</w:t>
            </w:r>
          </w:p>
        </w:tc>
      </w:tr>
      <w:tr w:rsidR="0054631C" w:rsidRPr="0039577F" w14:paraId="7A75EB3D" w14:textId="77777777" w:rsidTr="00A276B0">
        <w:tc>
          <w:tcPr>
            <w:tcW w:w="4388" w:type="dxa"/>
          </w:tcPr>
          <w:p w14:paraId="5F31E29E" w14:textId="50B2265F" w:rsidR="0054631C" w:rsidRPr="0039577F" w:rsidRDefault="0054631C" w:rsidP="00AC16B1">
            <w:pPr>
              <w:numPr>
                <w:ilvl w:val="0"/>
                <w:numId w:val="3"/>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 xml:space="preserve">Do you agree with the proposed changes to terminology from the </w:t>
            </w:r>
            <w:r w:rsidRPr="0039577F">
              <w:rPr>
                <w:rFonts w:ascii="Open Sans" w:hAnsi="Open Sans" w:cs="Open Sans"/>
                <w:i/>
                <w:iCs/>
                <w:sz w:val="20"/>
                <w:szCs w:val="20"/>
                <w:lang w:val="en-US"/>
              </w:rPr>
              <w:t xml:space="preserve">IFRS for SMEs </w:t>
            </w:r>
            <w:r w:rsidRPr="0039577F">
              <w:rPr>
                <w:rFonts w:ascii="Open Sans" w:hAnsi="Open Sans" w:cs="Open Sans"/>
                <w:sz w:val="20"/>
                <w:szCs w:val="20"/>
                <w:lang w:val="en-US"/>
              </w:rPr>
              <w:t>Accounting Standard? If not, what would you propose and why?</w:t>
            </w:r>
          </w:p>
        </w:tc>
        <w:tc>
          <w:tcPr>
            <w:tcW w:w="1642" w:type="dxa"/>
          </w:tcPr>
          <w:p w14:paraId="1E92CD47" w14:textId="77777777" w:rsidR="0054631C" w:rsidRPr="0039577F" w:rsidRDefault="0054631C"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Sections 3-10</w:t>
            </w:r>
          </w:p>
          <w:p w14:paraId="17CFABE1" w14:textId="77777777" w:rsidR="0054631C" w:rsidRPr="0039577F" w:rsidRDefault="0054631C" w:rsidP="00AC16B1">
            <w:pPr>
              <w:spacing w:before="120" w:after="120"/>
              <w:rPr>
                <w:rFonts w:ascii="Open Sans" w:hAnsi="Open Sans" w:cs="Open Sans"/>
                <w:b/>
                <w:bCs/>
                <w:sz w:val="20"/>
                <w:szCs w:val="20"/>
                <w:lang w:val="en-US"/>
              </w:rPr>
            </w:pPr>
          </w:p>
        </w:tc>
        <w:tc>
          <w:tcPr>
            <w:tcW w:w="8282" w:type="dxa"/>
          </w:tcPr>
          <w:p w14:paraId="1501A078" w14:textId="188DA538" w:rsidR="0054631C" w:rsidRPr="0039577F" w:rsidRDefault="0025268C"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Whilst we do not disagree with the terminology changes, we think it would be beneficial for INPAG to include a statement that whilst these are the preferred terminology, any terminology can be used </w:t>
            </w:r>
            <w:proofErr w:type="gramStart"/>
            <w:r w:rsidRPr="0039577F">
              <w:rPr>
                <w:rFonts w:ascii="Open Sans" w:hAnsi="Open Sans" w:cs="Open Sans"/>
                <w:sz w:val="20"/>
                <w:szCs w:val="20"/>
                <w:lang w:val="en-US"/>
              </w:rPr>
              <w:t>as long as</w:t>
            </w:r>
            <w:proofErr w:type="gramEnd"/>
            <w:r w:rsidRPr="0039577F">
              <w:rPr>
                <w:rFonts w:ascii="Open Sans" w:hAnsi="Open Sans" w:cs="Open Sans"/>
                <w:sz w:val="20"/>
                <w:szCs w:val="20"/>
                <w:lang w:val="en-US"/>
              </w:rPr>
              <w:t xml:space="preserve"> it is not misleading. Given the replaced terminology are all widely used, they are well understood by the sector and wider and so we do not believe the use of the replaced terminology would cause confusion or for the </w:t>
            </w:r>
            <w:proofErr w:type="gramStart"/>
            <w:r w:rsidRPr="0039577F">
              <w:rPr>
                <w:rFonts w:ascii="Open Sans" w:hAnsi="Open Sans" w:cs="Open Sans"/>
                <w:sz w:val="20"/>
                <w:szCs w:val="20"/>
                <w:lang w:val="en-US"/>
              </w:rPr>
              <w:t>general purpose</w:t>
            </w:r>
            <w:proofErr w:type="gramEnd"/>
            <w:r w:rsidRPr="0039577F">
              <w:rPr>
                <w:rFonts w:ascii="Open Sans" w:hAnsi="Open Sans" w:cs="Open Sans"/>
                <w:sz w:val="20"/>
                <w:szCs w:val="20"/>
                <w:lang w:val="en-US"/>
              </w:rPr>
              <w:t xml:space="preserve"> financial statements to cease to be comparable. </w:t>
            </w:r>
            <w:r w:rsidR="00560A79" w:rsidRPr="0039577F">
              <w:rPr>
                <w:rFonts w:ascii="Open Sans" w:hAnsi="Open Sans" w:cs="Open Sans"/>
                <w:sz w:val="20"/>
                <w:szCs w:val="20"/>
                <w:lang w:val="en-US"/>
              </w:rPr>
              <w:t xml:space="preserve"> </w:t>
            </w:r>
          </w:p>
        </w:tc>
      </w:tr>
      <w:tr w:rsidR="0054631C" w:rsidRPr="0039577F" w14:paraId="7B5338DB" w14:textId="77777777" w:rsidTr="00A276B0">
        <w:tc>
          <w:tcPr>
            <w:tcW w:w="4388" w:type="dxa"/>
          </w:tcPr>
          <w:p w14:paraId="34DBC0EB" w14:textId="65E10D2F" w:rsidR="0054631C" w:rsidRPr="0039577F" w:rsidRDefault="0054631C" w:rsidP="00AC16B1">
            <w:pPr>
              <w:numPr>
                <w:ilvl w:val="0"/>
                <w:numId w:val="3"/>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 xml:space="preserve">Do you agree that comparatives should be shown on the face of the primary statements? </w:t>
            </w:r>
            <w:proofErr w:type="gramStart"/>
            <w:r w:rsidRPr="0039577F">
              <w:rPr>
                <w:rFonts w:ascii="Open Sans" w:hAnsi="Open Sans" w:cs="Open Sans"/>
                <w:sz w:val="20"/>
                <w:szCs w:val="20"/>
                <w:lang w:val="en-US"/>
              </w:rPr>
              <w:t>In particular, do</w:t>
            </w:r>
            <w:proofErr w:type="gramEnd"/>
            <w:r w:rsidRPr="0039577F">
              <w:rPr>
                <w:rFonts w:ascii="Open Sans" w:hAnsi="Open Sans" w:cs="Open Sans"/>
                <w:sz w:val="20"/>
                <w:szCs w:val="20"/>
                <w:lang w:val="en-US"/>
              </w:rPr>
              <w:t xml:space="preserve"> you agree with the proposed comparatives for the Statement of Income and Expenses? If not, what do you propose and why?</w:t>
            </w:r>
          </w:p>
        </w:tc>
        <w:tc>
          <w:tcPr>
            <w:tcW w:w="1642" w:type="dxa"/>
          </w:tcPr>
          <w:p w14:paraId="3F8FCD27" w14:textId="77777777" w:rsidR="0054631C" w:rsidRPr="0039577F" w:rsidRDefault="0054631C"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G3.14, G3.19, AG3.9-AG3.11, BC5.11</w:t>
            </w:r>
          </w:p>
          <w:p w14:paraId="6D84C5E5" w14:textId="77777777" w:rsidR="0054631C" w:rsidRPr="0039577F" w:rsidRDefault="0054631C" w:rsidP="00AC16B1">
            <w:pPr>
              <w:spacing w:before="120" w:after="120"/>
              <w:rPr>
                <w:rFonts w:ascii="Open Sans" w:hAnsi="Open Sans" w:cs="Open Sans"/>
                <w:b/>
                <w:bCs/>
                <w:sz w:val="20"/>
                <w:szCs w:val="20"/>
                <w:lang w:val="en-US"/>
              </w:rPr>
            </w:pPr>
          </w:p>
        </w:tc>
        <w:tc>
          <w:tcPr>
            <w:tcW w:w="8282" w:type="dxa"/>
          </w:tcPr>
          <w:p w14:paraId="09C580C4" w14:textId="61E05221" w:rsidR="0025268C" w:rsidRPr="0039577F" w:rsidRDefault="0025268C"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Yes, generally we agree that comparatives should be presented for most of the amounts presented and narrative / descriptive information. That said, to avoid cluttering the primary statements, it is our opinion that some comparative information can be included in the notes to the </w:t>
            </w:r>
            <w:proofErr w:type="gramStart"/>
            <w:r w:rsidRPr="0039577F">
              <w:rPr>
                <w:rFonts w:ascii="Open Sans" w:hAnsi="Open Sans" w:cs="Open Sans"/>
                <w:sz w:val="20"/>
                <w:szCs w:val="20"/>
                <w:lang w:val="en-US"/>
              </w:rPr>
              <w:t>general purpose</w:t>
            </w:r>
            <w:proofErr w:type="gramEnd"/>
            <w:r w:rsidRPr="0039577F">
              <w:rPr>
                <w:rFonts w:ascii="Open Sans" w:hAnsi="Open Sans" w:cs="Open Sans"/>
                <w:sz w:val="20"/>
                <w:szCs w:val="20"/>
                <w:lang w:val="en-US"/>
              </w:rPr>
              <w:t xml:space="preserve"> financial statements. For example, whilst we agree that a Statement of Income and Expenses should be split between restricted and unrestricted funds, to ensure that the information is reader friendly and the important information does not get overshadowed, preparers could be given the option to present just the total amounts on the face of the statement, with a comparative by fund type disclosed in the notes. </w:t>
            </w:r>
          </w:p>
          <w:p w14:paraId="19A8C9D2" w14:textId="06F797BF" w:rsidR="00A67810" w:rsidRPr="0039577F" w:rsidRDefault="0025268C"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It was identified on the webinars introducing this exposure draft that there seemed to be a call to also disclose budgeted amounts as a form of comparison. We believe that this goes beyond the needs of the collective users of the financial statements, and so do not support this being a requirement. Further, given our experience in the sector, we know that NPOs regularly reassess their budgets and so there could be confusion as to which budgets would be required to be disclosed, and so this could reduce the comparability of information. </w:t>
            </w:r>
          </w:p>
        </w:tc>
      </w:tr>
      <w:tr w:rsidR="00FE20EA" w:rsidRPr="0039577F" w14:paraId="6A190DDD" w14:textId="1FA8E7CF" w:rsidTr="00A276B0">
        <w:tc>
          <w:tcPr>
            <w:tcW w:w="4388" w:type="dxa"/>
          </w:tcPr>
          <w:p w14:paraId="3FBDA96A" w14:textId="77777777" w:rsidR="00FE20EA" w:rsidRPr="0039577F" w:rsidRDefault="00FE20EA" w:rsidP="00AC16B1">
            <w:pPr>
              <w:numPr>
                <w:ilvl w:val="0"/>
                <w:numId w:val="3"/>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lastRenderedPageBreak/>
              <w:t>Do the proposals for expressing compliance with INPAG create unintended consequences? If so, what are your key concerns?</w:t>
            </w:r>
          </w:p>
        </w:tc>
        <w:tc>
          <w:tcPr>
            <w:tcW w:w="1642" w:type="dxa"/>
          </w:tcPr>
          <w:p w14:paraId="6A742713" w14:textId="41A93DAC" w:rsidR="00FE20EA" w:rsidRPr="0039577F" w:rsidRDefault="00FE20EA" w:rsidP="00AC16B1">
            <w:pPr>
              <w:spacing w:before="120" w:after="120"/>
              <w:jc w:val="both"/>
              <w:rPr>
                <w:rFonts w:ascii="Open Sans" w:hAnsi="Open Sans" w:cs="Open Sans"/>
                <w:b/>
                <w:bCs/>
                <w:sz w:val="20"/>
                <w:szCs w:val="20"/>
                <w:lang w:val="en-US"/>
              </w:rPr>
            </w:pPr>
            <w:r w:rsidRPr="0039577F">
              <w:rPr>
                <w:rFonts w:ascii="Open Sans" w:hAnsi="Open Sans" w:cs="Open Sans"/>
                <w:sz w:val="20"/>
                <w:szCs w:val="20"/>
                <w:lang w:val="en-US"/>
              </w:rPr>
              <w:t>G3.3-G3.7, AG3.3-AG3.5</w:t>
            </w:r>
          </w:p>
        </w:tc>
        <w:tc>
          <w:tcPr>
            <w:tcW w:w="8282" w:type="dxa"/>
          </w:tcPr>
          <w:p w14:paraId="2DD1BE5A" w14:textId="5A17C815" w:rsidR="00FE20EA" w:rsidRPr="0039577F" w:rsidRDefault="00891C29"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There may be scenarios when the requirements of INPAG contradict the local jurisdiction rules which means that the NPO would have to depart from the INPAG requirements. Based on AG3.3, this would mean that a statement of compliance could not be made. However, it is our opinion that in such a situation, the NPO could still make the statement of compliance provided they explained the departure and the reasons for the departure. (</w:t>
            </w:r>
            <w:proofErr w:type="gramStart"/>
            <w:r w:rsidRPr="0039577F">
              <w:rPr>
                <w:rFonts w:ascii="Open Sans" w:hAnsi="Open Sans" w:cs="Open Sans"/>
                <w:sz w:val="20"/>
                <w:szCs w:val="20"/>
                <w:lang w:val="en-US"/>
              </w:rPr>
              <w:t>i.e.</w:t>
            </w:r>
            <w:proofErr w:type="gramEnd"/>
            <w:r w:rsidRPr="0039577F">
              <w:rPr>
                <w:rFonts w:ascii="Open Sans" w:hAnsi="Open Sans" w:cs="Open Sans"/>
                <w:sz w:val="20"/>
                <w:szCs w:val="20"/>
                <w:lang w:val="en-US"/>
              </w:rPr>
              <w:t xml:space="preserve"> that the requirements of G3.5 be complied with in the scenario of such a departure, not just when a departure is necessary to achieve fair presentation).</w:t>
            </w:r>
          </w:p>
        </w:tc>
      </w:tr>
    </w:tbl>
    <w:p w14:paraId="16A05D7F" w14:textId="0FE2CD24" w:rsidR="00876D53" w:rsidRPr="0039577F" w:rsidRDefault="00876D53" w:rsidP="00AC16B1">
      <w:pPr>
        <w:spacing w:before="120" w:after="120"/>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39577F" w14:paraId="2782B798" w14:textId="77777777" w:rsidTr="00C02B15">
        <w:tc>
          <w:tcPr>
            <w:tcW w:w="4388" w:type="dxa"/>
          </w:tcPr>
          <w:p w14:paraId="1175A909" w14:textId="3B5E1EA3" w:rsidR="0054631C" w:rsidRPr="0039577F" w:rsidRDefault="0054631C" w:rsidP="00AC16B1">
            <w:pPr>
              <w:spacing w:before="120" w:after="120"/>
              <w:jc w:val="both"/>
              <w:rPr>
                <w:rFonts w:ascii="Open Sans" w:hAnsi="Open Sans" w:cs="Open Sans"/>
                <w:b/>
                <w:bCs/>
                <w:sz w:val="20"/>
                <w:szCs w:val="20"/>
                <w:lang w:val="en-US"/>
              </w:rPr>
            </w:pPr>
            <w:r w:rsidRPr="0039577F">
              <w:rPr>
                <w:rFonts w:ascii="Open Sans" w:hAnsi="Open Sans" w:cs="Open Sans"/>
                <w:b/>
                <w:bCs/>
                <w:sz w:val="20"/>
                <w:szCs w:val="20"/>
                <w:lang w:val="en-US"/>
              </w:rPr>
              <w:t xml:space="preserve">Question 5: Scope and presentation of the Statement of Financial Position </w:t>
            </w:r>
          </w:p>
          <w:p w14:paraId="4443CEDA" w14:textId="69E28A3F" w:rsidR="0054631C" w:rsidRPr="0039577F" w:rsidRDefault="0054631C" w:rsidP="00AC16B1">
            <w:pPr>
              <w:spacing w:before="120" w:after="120"/>
              <w:jc w:val="both"/>
              <w:rPr>
                <w:rFonts w:ascii="Open Sans" w:hAnsi="Open Sans" w:cs="Open Sans"/>
                <w:b/>
                <w:bCs/>
                <w:sz w:val="20"/>
                <w:szCs w:val="20"/>
                <w:lang w:val="en-US"/>
              </w:rPr>
            </w:pPr>
          </w:p>
        </w:tc>
        <w:tc>
          <w:tcPr>
            <w:tcW w:w="9924" w:type="dxa"/>
            <w:gridSpan w:val="2"/>
          </w:tcPr>
          <w:p w14:paraId="15DF02FF" w14:textId="3572978F" w:rsidR="0054631C" w:rsidRPr="0039577F" w:rsidRDefault="001D2FA7" w:rsidP="00AC16B1">
            <w:pPr>
              <w:pStyle w:val="TableParagraph"/>
              <w:spacing w:before="120" w:after="120" w:line="264" w:lineRule="auto"/>
              <w:ind w:left="36" w:right="304"/>
              <w:rPr>
                <w:rFonts w:ascii="Open Sans" w:hAnsi="Open Sans" w:cs="Open Sans"/>
                <w:sz w:val="20"/>
                <w:szCs w:val="20"/>
              </w:rPr>
            </w:pPr>
            <w:r w:rsidRPr="0039577F">
              <w:rPr>
                <w:rFonts w:ascii="Open Sans" w:hAnsi="Open Sans" w:cs="Open Sans"/>
                <w:spacing w:val="-2"/>
                <w:w w:val="105"/>
                <w:sz w:val="20"/>
                <w:szCs w:val="20"/>
              </w:rPr>
              <w:t>The Statement of Financial Position has</w:t>
            </w:r>
            <w:r w:rsidR="002414E0" w:rsidRPr="0039577F">
              <w:rPr>
                <w:rFonts w:ascii="Open Sans" w:hAnsi="Open Sans" w:cs="Open Sans"/>
                <w:spacing w:val="-7"/>
                <w:w w:val="105"/>
                <w:sz w:val="20"/>
                <w:szCs w:val="20"/>
              </w:rPr>
              <w:t xml:space="preserve"> </w:t>
            </w:r>
            <w:r w:rsidR="002414E0" w:rsidRPr="0039577F">
              <w:rPr>
                <w:rFonts w:ascii="Open Sans" w:hAnsi="Open Sans" w:cs="Open Sans"/>
                <w:spacing w:val="-2"/>
                <w:w w:val="105"/>
                <w:sz w:val="20"/>
                <w:szCs w:val="20"/>
              </w:rPr>
              <w:t>proposals</w:t>
            </w:r>
            <w:r w:rsidR="002414E0" w:rsidRPr="0039577F">
              <w:rPr>
                <w:rFonts w:ascii="Open Sans" w:hAnsi="Open Sans" w:cs="Open Sans"/>
                <w:spacing w:val="-6"/>
                <w:w w:val="105"/>
                <w:sz w:val="20"/>
                <w:szCs w:val="20"/>
              </w:rPr>
              <w:t xml:space="preserve"> </w:t>
            </w:r>
            <w:r w:rsidRPr="0039577F">
              <w:rPr>
                <w:rFonts w:ascii="Open Sans" w:hAnsi="Open Sans" w:cs="Open Sans"/>
                <w:spacing w:val="-2"/>
                <w:w w:val="105"/>
                <w:sz w:val="20"/>
                <w:szCs w:val="20"/>
              </w:rPr>
              <w:t>that</w:t>
            </w:r>
            <w:r w:rsidR="002414E0" w:rsidRPr="0039577F">
              <w:rPr>
                <w:rFonts w:ascii="Open Sans" w:hAnsi="Open Sans" w:cs="Open Sans"/>
                <w:spacing w:val="-16"/>
                <w:w w:val="105"/>
                <w:sz w:val="20"/>
                <w:szCs w:val="20"/>
              </w:rPr>
              <w:t xml:space="preserve"> </w:t>
            </w:r>
            <w:r w:rsidR="002414E0" w:rsidRPr="0039577F">
              <w:rPr>
                <w:rFonts w:ascii="Open Sans" w:hAnsi="Open Sans" w:cs="Open Sans"/>
                <w:w w:val="105"/>
                <w:sz w:val="20"/>
                <w:szCs w:val="20"/>
              </w:rPr>
              <w:t>the</w:t>
            </w:r>
            <w:r w:rsidR="002414E0" w:rsidRPr="0039577F">
              <w:rPr>
                <w:rFonts w:ascii="Open Sans" w:hAnsi="Open Sans" w:cs="Open Sans"/>
                <w:spacing w:val="-16"/>
                <w:w w:val="105"/>
                <w:sz w:val="20"/>
                <w:szCs w:val="20"/>
              </w:rPr>
              <w:t xml:space="preserve"> </w:t>
            </w:r>
            <w:r w:rsidR="002414E0" w:rsidRPr="0039577F">
              <w:rPr>
                <w:rFonts w:ascii="Open Sans" w:hAnsi="Open Sans" w:cs="Open Sans"/>
                <w:w w:val="105"/>
                <w:sz w:val="20"/>
                <w:szCs w:val="20"/>
              </w:rPr>
              <w:t>aggregate</w:t>
            </w:r>
            <w:r w:rsidR="002414E0" w:rsidRPr="0039577F">
              <w:rPr>
                <w:rFonts w:ascii="Open Sans" w:hAnsi="Open Sans" w:cs="Open Sans"/>
                <w:spacing w:val="-16"/>
                <w:w w:val="105"/>
                <w:sz w:val="20"/>
                <w:szCs w:val="20"/>
              </w:rPr>
              <w:t xml:space="preserve"> </w:t>
            </w:r>
            <w:r w:rsidR="002414E0" w:rsidRPr="0039577F">
              <w:rPr>
                <w:rFonts w:ascii="Open Sans" w:hAnsi="Open Sans" w:cs="Open Sans"/>
                <w:w w:val="105"/>
                <w:sz w:val="20"/>
                <w:szCs w:val="20"/>
              </w:rPr>
              <w:t>of</w:t>
            </w:r>
            <w:r w:rsidR="002414E0" w:rsidRPr="0039577F">
              <w:rPr>
                <w:rFonts w:ascii="Open Sans" w:hAnsi="Open Sans" w:cs="Open Sans"/>
                <w:spacing w:val="-16"/>
                <w:w w:val="105"/>
                <w:sz w:val="20"/>
                <w:szCs w:val="20"/>
              </w:rPr>
              <w:t xml:space="preserve"> </w:t>
            </w:r>
            <w:r w:rsidR="002414E0" w:rsidRPr="0039577F">
              <w:rPr>
                <w:rFonts w:ascii="Open Sans" w:hAnsi="Open Sans" w:cs="Open Sans"/>
                <w:w w:val="105"/>
                <w:sz w:val="20"/>
                <w:szCs w:val="20"/>
              </w:rPr>
              <w:t>the</w:t>
            </w:r>
            <w:r w:rsidR="002414E0" w:rsidRPr="0039577F">
              <w:rPr>
                <w:rFonts w:ascii="Open Sans" w:hAnsi="Open Sans" w:cs="Open Sans"/>
                <w:spacing w:val="-16"/>
                <w:w w:val="105"/>
                <w:sz w:val="20"/>
                <w:szCs w:val="20"/>
              </w:rPr>
              <w:t xml:space="preserve"> </w:t>
            </w:r>
            <w:r w:rsidR="002414E0" w:rsidRPr="0039577F">
              <w:rPr>
                <w:rFonts w:ascii="Open Sans" w:hAnsi="Open Sans" w:cs="Open Sans"/>
                <w:w w:val="105"/>
                <w:sz w:val="20"/>
                <w:szCs w:val="20"/>
              </w:rPr>
              <w:t>fund</w:t>
            </w:r>
            <w:r w:rsidR="002414E0" w:rsidRPr="0039577F">
              <w:rPr>
                <w:rFonts w:ascii="Open Sans" w:hAnsi="Open Sans" w:cs="Open Sans"/>
                <w:spacing w:val="-16"/>
                <w:w w:val="105"/>
                <w:sz w:val="20"/>
                <w:szCs w:val="20"/>
              </w:rPr>
              <w:t xml:space="preserve"> </w:t>
            </w:r>
            <w:r w:rsidR="002414E0" w:rsidRPr="0039577F">
              <w:rPr>
                <w:rFonts w:ascii="Open Sans" w:hAnsi="Open Sans" w:cs="Open Sans"/>
                <w:w w:val="105"/>
                <w:sz w:val="20"/>
                <w:szCs w:val="20"/>
              </w:rPr>
              <w:t>balances</w:t>
            </w:r>
            <w:r w:rsidR="002414E0" w:rsidRPr="0039577F">
              <w:rPr>
                <w:rFonts w:ascii="Open Sans" w:hAnsi="Open Sans" w:cs="Open Sans"/>
                <w:spacing w:val="-16"/>
                <w:w w:val="105"/>
                <w:sz w:val="20"/>
                <w:szCs w:val="20"/>
              </w:rPr>
              <w:t xml:space="preserve"> </w:t>
            </w:r>
            <w:r w:rsidR="00E0347C" w:rsidRPr="0039577F">
              <w:rPr>
                <w:rFonts w:ascii="Open Sans" w:hAnsi="Open Sans" w:cs="Open Sans"/>
                <w:spacing w:val="-16"/>
                <w:w w:val="105"/>
                <w:sz w:val="20"/>
                <w:szCs w:val="20"/>
              </w:rPr>
              <w:t>for funds with restrictions and funds without restriction and has associated disclosures</w:t>
            </w:r>
            <w:r w:rsidR="002414E0" w:rsidRPr="0039577F">
              <w:rPr>
                <w:rFonts w:ascii="Open Sans" w:hAnsi="Open Sans" w:cs="Open Sans"/>
                <w:w w:val="105"/>
                <w:sz w:val="20"/>
                <w:szCs w:val="20"/>
              </w:rPr>
              <w:t>.</w:t>
            </w:r>
            <w:r w:rsidRPr="0039577F">
              <w:rPr>
                <w:rFonts w:ascii="Open Sans" w:hAnsi="Open Sans" w:cs="Open Sans"/>
                <w:sz w:val="20"/>
                <w:szCs w:val="20"/>
              </w:rPr>
              <w:t xml:space="preserve"> This</w:t>
            </w:r>
            <w:r w:rsidRPr="0039577F">
              <w:rPr>
                <w:rFonts w:ascii="Open Sans" w:hAnsi="Open Sans" w:cs="Open Sans"/>
                <w:spacing w:val="-8"/>
                <w:sz w:val="20"/>
                <w:szCs w:val="20"/>
              </w:rPr>
              <w:t xml:space="preserve"> </w:t>
            </w:r>
            <w:r w:rsidRPr="0039577F">
              <w:rPr>
                <w:rFonts w:ascii="Open Sans" w:hAnsi="Open Sans" w:cs="Open Sans"/>
                <w:sz w:val="20"/>
                <w:szCs w:val="20"/>
              </w:rPr>
              <w:t>statement</w:t>
            </w:r>
            <w:r w:rsidRPr="0039577F">
              <w:rPr>
                <w:rFonts w:ascii="Open Sans" w:hAnsi="Open Sans" w:cs="Open Sans"/>
                <w:spacing w:val="-9"/>
                <w:sz w:val="20"/>
                <w:szCs w:val="20"/>
              </w:rPr>
              <w:t xml:space="preserve"> </w:t>
            </w:r>
            <w:r w:rsidR="00812CA9" w:rsidRPr="0039577F">
              <w:rPr>
                <w:rFonts w:ascii="Open Sans" w:hAnsi="Open Sans" w:cs="Open Sans"/>
                <w:sz w:val="20"/>
                <w:szCs w:val="20"/>
              </w:rPr>
              <w:t>mirrors those used in other international standards</w:t>
            </w:r>
            <w:r w:rsidR="00BA1536" w:rsidRPr="0039577F">
              <w:rPr>
                <w:rFonts w:ascii="Open Sans" w:hAnsi="Open Sans" w:cs="Open Sans"/>
                <w:sz w:val="20"/>
                <w:szCs w:val="20"/>
              </w:rPr>
              <w:t>,</w:t>
            </w:r>
            <w:r w:rsidRPr="0039577F">
              <w:rPr>
                <w:rFonts w:ascii="Open Sans" w:hAnsi="Open Sans" w:cs="Open Sans"/>
                <w:spacing w:val="-9"/>
                <w:sz w:val="20"/>
                <w:szCs w:val="20"/>
              </w:rPr>
              <w:t xml:space="preserve"> </w:t>
            </w:r>
            <w:r w:rsidRPr="0039577F">
              <w:rPr>
                <w:rFonts w:ascii="Open Sans" w:hAnsi="Open Sans" w:cs="Open Sans"/>
                <w:sz w:val="20"/>
                <w:szCs w:val="20"/>
              </w:rPr>
              <w:t>including</w:t>
            </w:r>
            <w:r w:rsidRPr="0039577F">
              <w:rPr>
                <w:rFonts w:ascii="Open Sans" w:hAnsi="Open Sans" w:cs="Open Sans"/>
                <w:spacing w:val="-8"/>
                <w:sz w:val="20"/>
                <w:szCs w:val="20"/>
              </w:rPr>
              <w:t xml:space="preserve"> </w:t>
            </w:r>
            <w:r w:rsidR="00BA1536" w:rsidRPr="0039577F">
              <w:rPr>
                <w:rFonts w:ascii="Open Sans" w:hAnsi="Open Sans" w:cs="Open Sans"/>
                <w:sz w:val="20"/>
                <w:szCs w:val="20"/>
              </w:rPr>
              <w:t>how</w:t>
            </w:r>
            <w:r w:rsidRPr="0039577F">
              <w:rPr>
                <w:rFonts w:ascii="Open Sans" w:hAnsi="Open Sans" w:cs="Open Sans"/>
                <w:sz w:val="20"/>
                <w:szCs w:val="20"/>
              </w:rPr>
              <w:t xml:space="preserve"> assets and liabilities</w:t>
            </w:r>
            <w:r w:rsidR="00BA1536" w:rsidRPr="0039577F">
              <w:rPr>
                <w:rFonts w:ascii="Open Sans" w:hAnsi="Open Sans" w:cs="Open Sans"/>
                <w:sz w:val="20"/>
                <w:szCs w:val="20"/>
              </w:rPr>
              <w:t xml:space="preserve"> are classified</w:t>
            </w:r>
            <w:r w:rsidRPr="0039577F">
              <w:rPr>
                <w:rFonts w:ascii="Open Sans" w:hAnsi="Open Sans" w:cs="Open Sans"/>
                <w:sz w:val="20"/>
                <w:szCs w:val="20"/>
              </w:rPr>
              <w:t xml:space="preserve">, but </w:t>
            </w:r>
            <w:r w:rsidR="00BA1536" w:rsidRPr="0039577F">
              <w:rPr>
                <w:rFonts w:ascii="Open Sans" w:hAnsi="Open Sans" w:cs="Open Sans"/>
                <w:sz w:val="20"/>
                <w:szCs w:val="20"/>
              </w:rPr>
              <w:t>has NPO-specific</w:t>
            </w:r>
            <w:r w:rsidRPr="0039577F">
              <w:rPr>
                <w:rFonts w:ascii="Open Sans" w:hAnsi="Open Sans" w:cs="Open Sans"/>
                <w:sz w:val="20"/>
                <w:szCs w:val="20"/>
              </w:rPr>
              <w:t xml:space="preserve"> terminology.</w:t>
            </w:r>
          </w:p>
        </w:tc>
      </w:tr>
      <w:tr w:rsidR="0054631C" w:rsidRPr="0039577F" w14:paraId="057F4EBB" w14:textId="77777777" w:rsidTr="00A276B0">
        <w:tc>
          <w:tcPr>
            <w:tcW w:w="4388" w:type="dxa"/>
          </w:tcPr>
          <w:p w14:paraId="7627793F" w14:textId="77777777" w:rsidR="0054631C" w:rsidRPr="0039577F" w:rsidRDefault="0054631C" w:rsidP="00AC16B1">
            <w:pPr>
              <w:spacing w:before="120" w:after="120"/>
              <w:jc w:val="both"/>
              <w:rPr>
                <w:rFonts w:ascii="Open Sans" w:hAnsi="Open Sans" w:cs="Open Sans"/>
                <w:b/>
                <w:bCs/>
                <w:sz w:val="20"/>
                <w:szCs w:val="20"/>
              </w:rPr>
            </w:pPr>
          </w:p>
        </w:tc>
        <w:tc>
          <w:tcPr>
            <w:tcW w:w="1642" w:type="dxa"/>
          </w:tcPr>
          <w:p w14:paraId="63634B6A" w14:textId="53C5D080" w:rsidR="0054631C" w:rsidRPr="0039577F" w:rsidRDefault="0054631C"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References</w:t>
            </w:r>
          </w:p>
        </w:tc>
        <w:tc>
          <w:tcPr>
            <w:tcW w:w="8282" w:type="dxa"/>
          </w:tcPr>
          <w:p w14:paraId="73510024" w14:textId="0E1F21B2" w:rsidR="0054631C" w:rsidRPr="0039577F" w:rsidRDefault="0054631C"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Response</w:t>
            </w:r>
          </w:p>
        </w:tc>
      </w:tr>
      <w:tr w:rsidR="0054631C" w:rsidRPr="0039577F" w14:paraId="64ED687B" w14:textId="77777777" w:rsidTr="00A276B0">
        <w:tc>
          <w:tcPr>
            <w:tcW w:w="4388" w:type="dxa"/>
          </w:tcPr>
          <w:p w14:paraId="422354EE" w14:textId="0B19E392" w:rsidR="0054631C" w:rsidRPr="0039577F" w:rsidRDefault="0054631C" w:rsidP="00AC16B1">
            <w:pPr>
              <w:numPr>
                <w:ilvl w:val="0"/>
                <w:numId w:val="4"/>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Do you agree that all asset and liability balances should be split between current and non-current amounts (except where a liquidity-based presentation has been adopted)? If not, why not?</w:t>
            </w:r>
          </w:p>
        </w:tc>
        <w:tc>
          <w:tcPr>
            <w:tcW w:w="1642" w:type="dxa"/>
          </w:tcPr>
          <w:p w14:paraId="49493FDC" w14:textId="77777777" w:rsidR="0054631C" w:rsidRPr="0039577F" w:rsidRDefault="0054631C"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G4.5-G4.9, AG4.4</w:t>
            </w:r>
          </w:p>
          <w:p w14:paraId="607DFD70" w14:textId="77777777" w:rsidR="0054631C" w:rsidRPr="0039577F" w:rsidRDefault="0054631C" w:rsidP="00AC16B1">
            <w:pPr>
              <w:spacing w:before="120" w:after="120"/>
              <w:rPr>
                <w:rFonts w:ascii="Open Sans" w:hAnsi="Open Sans" w:cs="Open Sans"/>
                <w:sz w:val="20"/>
                <w:szCs w:val="20"/>
                <w:lang w:val="en-US"/>
              </w:rPr>
            </w:pPr>
          </w:p>
        </w:tc>
        <w:tc>
          <w:tcPr>
            <w:tcW w:w="8282" w:type="dxa"/>
          </w:tcPr>
          <w:p w14:paraId="5C708D66" w14:textId="2BD62C52" w:rsidR="0054631C" w:rsidRPr="0039577F" w:rsidRDefault="00891C29"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Yes, we agree all assets and liabilities should be split between current and non-current. </w:t>
            </w:r>
          </w:p>
        </w:tc>
      </w:tr>
      <w:tr w:rsidR="0054631C" w:rsidRPr="0039577F" w14:paraId="7715C5CE" w14:textId="1CDB1E2B" w:rsidTr="00A276B0">
        <w:tc>
          <w:tcPr>
            <w:tcW w:w="4388" w:type="dxa"/>
          </w:tcPr>
          <w:p w14:paraId="574B1948" w14:textId="7B0E6237" w:rsidR="0054631C" w:rsidRPr="0039577F" w:rsidRDefault="0054631C" w:rsidP="00AC16B1">
            <w:pPr>
              <w:numPr>
                <w:ilvl w:val="0"/>
                <w:numId w:val="4"/>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lastRenderedPageBreak/>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39577F" w:rsidRDefault="0054631C" w:rsidP="00AC16B1">
            <w:pPr>
              <w:spacing w:before="120" w:after="120"/>
              <w:jc w:val="both"/>
              <w:rPr>
                <w:rFonts w:ascii="Open Sans" w:hAnsi="Open Sans" w:cs="Open Sans"/>
                <w:b/>
                <w:bCs/>
                <w:sz w:val="20"/>
                <w:szCs w:val="20"/>
                <w:lang w:val="en-US"/>
              </w:rPr>
            </w:pPr>
            <w:r w:rsidRPr="0039577F">
              <w:rPr>
                <w:rFonts w:ascii="Open Sans" w:hAnsi="Open Sans" w:cs="Open Sans"/>
                <w:sz w:val="20"/>
                <w:szCs w:val="20"/>
                <w:lang w:val="en-US"/>
              </w:rPr>
              <w:t>G4.13-G4.14, AG4.5-AG4.7</w:t>
            </w:r>
          </w:p>
        </w:tc>
        <w:tc>
          <w:tcPr>
            <w:tcW w:w="8282" w:type="dxa"/>
          </w:tcPr>
          <w:p w14:paraId="1D21094D" w14:textId="769364CD" w:rsidR="0054631C" w:rsidRPr="0039577F" w:rsidRDefault="00891C29"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Yes, whilst we agree that on the face of the Statement of Financial Position not all assets and liabilities should be split between those with restrictions and those without, it may be useful to the readers of the </w:t>
            </w:r>
            <w:proofErr w:type="gramStart"/>
            <w:r w:rsidRPr="0039577F">
              <w:rPr>
                <w:rFonts w:ascii="Open Sans" w:hAnsi="Open Sans" w:cs="Open Sans"/>
                <w:sz w:val="20"/>
                <w:szCs w:val="20"/>
                <w:lang w:val="en-US"/>
              </w:rPr>
              <w:t>general purpose</w:t>
            </w:r>
            <w:proofErr w:type="gramEnd"/>
            <w:r w:rsidRPr="0039577F">
              <w:rPr>
                <w:rFonts w:ascii="Open Sans" w:hAnsi="Open Sans" w:cs="Open Sans"/>
                <w:sz w:val="20"/>
                <w:szCs w:val="20"/>
                <w:lang w:val="en-US"/>
              </w:rPr>
              <w:t xml:space="preserve"> financial statements to disclose at a high level, how assets are split between those </w:t>
            </w:r>
            <w:r w:rsidR="00AC3F71" w:rsidRPr="0039577F">
              <w:rPr>
                <w:rFonts w:ascii="Open Sans" w:hAnsi="Open Sans" w:cs="Open Sans"/>
                <w:sz w:val="20"/>
                <w:szCs w:val="20"/>
                <w:lang w:val="en-US"/>
              </w:rPr>
              <w:t xml:space="preserve">with restrictions and those without. Therefore, a note to the financial statements disclosing this may be relevant. For example, it may be useful to understand that </w:t>
            </w:r>
            <w:proofErr w:type="gramStart"/>
            <w:r w:rsidR="00AC3F71" w:rsidRPr="0039577F">
              <w:rPr>
                <w:rFonts w:ascii="Open Sans" w:hAnsi="Open Sans" w:cs="Open Sans"/>
                <w:sz w:val="20"/>
                <w:szCs w:val="20"/>
                <w:lang w:val="en-US"/>
              </w:rPr>
              <w:t>the majority of</w:t>
            </w:r>
            <w:proofErr w:type="gramEnd"/>
            <w:r w:rsidR="00AC3F71" w:rsidRPr="0039577F">
              <w:rPr>
                <w:rFonts w:ascii="Open Sans" w:hAnsi="Open Sans" w:cs="Open Sans"/>
                <w:sz w:val="20"/>
                <w:szCs w:val="20"/>
                <w:lang w:val="en-US"/>
              </w:rPr>
              <w:t xml:space="preserve"> the unrestricted assets of the NPO is tied up in fixed assets, if this were the case. Therefore, whilst we do not believe this requires prominence on the face of the statement, we believe a supplementary note should be considered. </w:t>
            </w:r>
          </w:p>
        </w:tc>
      </w:tr>
    </w:tbl>
    <w:p w14:paraId="62CFC555" w14:textId="0AE48D70" w:rsidR="00876D53" w:rsidRPr="0039577F" w:rsidRDefault="00876D53" w:rsidP="00AC16B1">
      <w:pPr>
        <w:spacing w:before="120" w:after="120"/>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39577F" w14:paraId="57BDF688" w14:textId="77777777" w:rsidTr="00A051D6">
        <w:tc>
          <w:tcPr>
            <w:tcW w:w="4368" w:type="dxa"/>
          </w:tcPr>
          <w:p w14:paraId="490EA370" w14:textId="4318FC24" w:rsidR="003E10EA" w:rsidRPr="0039577F" w:rsidRDefault="003E10EA" w:rsidP="00AC16B1">
            <w:pPr>
              <w:spacing w:before="120" w:after="120"/>
              <w:jc w:val="both"/>
              <w:rPr>
                <w:rFonts w:ascii="Open Sans" w:hAnsi="Open Sans" w:cs="Open Sans"/>
                <w:b/>
                <w:bCs/>
                <w:sz w:val="20"/>
                <w:szCs w:val="20"/>
                <w:lang w:val="en-US"/>
              </w:rPr>
            </w:pPr>
            <w:r w:rsidRPr="0039577F">
              <w:rPr>
                <w:rFonts w:ascii="Open Sans" w:hAnsi="Open Sans" w:cs="Open Sans"/>
                <w:b/>
                <w:bCs/>
                <w:sz w:val="20"/>
                <w:szCs w:val="20"/>
                <w:lang w:val="en-US"/>
              </w:rPr>
              <w:t xml:space="preserve">Question 6: Scope and presentation of the Statement of Income and Expenses </w:t>
            </w:r>
          </w:p>
          <w:p w14:paraId="777EB14F" w14:textId="51A0D6E7" w:rsidR="003E10EA" w:rsidRPr="0039577F" w:rsidRDefault="003E10EA" w:rsidP="00AC16B1">
            <w:pPr>
              <w:spacing w:before="120" w:after="120"/>
              <w:jc w:val="both"/>
              <w:rPr>
                <w:rFonts w:ascii="Open Sans" w:hAnsi="Open Sans" w:cs="Open Sans"/>
                <w:b/>
                <w:bCs/>
                <w:sz w:val="20"/>
                <w:szCs w:val="20"/>
                <w:lang w:val="en-US"/>
              </w:rPr>
            </w:pPr>
          </w:p>
        </w:tc>
        <w:tc>
          <w:tcPr>
            <w:tcW w:w="9944" w:type="dxa"/>
            <w:gridSpan w:val="2"/>
          </w:tcPr>
          <w:p w14:paraId="257FD3DB" w14:textId="467C6940" w:rsidR="00997746" w:rsidRPr="0039577F" w:rsidRDefault="007B580B"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This Section is retitled from the equivalent Section in the </w:t>
            </w:r>
            <w:r w:rsidRPr="0039577F">
              <w:rPr>
                <w:rFonts w:ascii="Open Sans" w:hAnsi="Open Sans" w:cs="Open Sans"/>
                <w:i/>
                <w:iCs/>
                <w:sz w:val="20"/>
                <w:szCs w:val="20"/>
                <w:lang w:val="en-US"/>
              </w:rPr>
              <w:t xml:space="preserve">IFRS for SMEs </w:t>
            </w:r>
            <w:r w:rsidRPr="0039577F">
              <w:rPr>
                <w:rFonts w:ascii="Open Sans" w:hAnsi="Open Sans" w:cs="Open Sans"/>
                <w:sz w:val="20"/>
                <w:szCs w:val="20"/>
                <w:lang w:val="en-US"/>
              </w:rPr>
              <w:t>Accounting Standard</w:t>
            </w:r>
            <w:r w:rsidR="008C76B2" w:rsidRPr="0039577F">
              <w:rPr>
                <w:rFonts w:ascii="Open Sans" w:hAnsi="Open Sans" w:cs="Open Sans"/>
                <w:sz w:val="20"/>
                <w:szCs w:val="20"/>
                <w:lang w:val="en-US"/>
              </w:rPr>
              <w:t xml:space="preserve"> to be mor</w:t>
            </w:r>
            <w:r w:rsidRPr="0039577F">
              <w:rPr>
                <w:rFonts w:ascii="Open Sans" w:hAnsi="Open Sans" w:cs="Open Sans"/>
                <w:sz w:val="20"/>
                <w:szCs w:val="20"/>
                <w:lang w:val="en-US"/>
              </w:rPr>
              <w:t xml:space="preserve">e relevant for NPOs. </w:t>
            </w:r>
            <w:r w:rsidR="00997746" w:rsidRPr="0039577F">
              <w:rPr>
                <w:rFonts w:ascii="Open Sans" w:hAnsi="Open Sans" w:cs="Open Sans"/>
                <w:sz w:val="20"/>
                <w:szCs w:val="20"/>
                <w:lang w:val="en-US"/>
              </w:rPr>
              <w:t xml:space="preserve">References to ‘profit and </w:t>
            </w:r>
            <w:proofErr w:type="gramStart"/>
            <w:r w:rsidR="00997746" w:rsidRPr="0039577F">
              <w:rPr>
                <w:rFonts w:ascii="Open Sans" w:hAnsi="Open Sans" w:cs="Open Sans"/>
                <w:sz w:val="20"/>
                <w:szCs w:val="20"/>
                <w:lang w:val="en-US"/>
              </w:rPr>
              <w:t>loss’</w:t>
            </w:r>
            <w:proofErr w:type="gramEnd"/>
            <w:r w:rsidR="00997746" w:rsidRPr="0039577F">
              <w:rPr>
                <w:rFonts w:ascii="Open Sans" w:hAnsi="Open Sans" w:cs="Open Sans"/>
                <w:sz w:val="20"/>
                <w:szCs w:val="20"/>
                <w:lang w:val="en-US"/>
              </w:rPr>
              <w:t xml:space="preserve"> are replaced with ‘surplus and deficit’.</w:t>
            </w:r>
            <w:r w:rsidR="000B0C37" w:rsidRPr="0039577F">
              <w:rPr>
                <w:rFonts w:ascii="Open Sans" w:hAnsi="Open Sans" w:cs="Open Sans"/>
                <w:sz w:val="20"/>
                <w:szCs w:val="20"/>
                <w:lang w:val="en-US"/>
              </w:rPr>
              <w:t xml:space="preserve"> </w:t>
            </w:r>
            <w:r w:rsidR="00997746" w:rsidRPr="0039577F">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Pr="0039577F" w:rsidRDefault="00997746" w:rsidP="00AC16B1">
            <w:pPr>
              <w:spacing w:before="120" w:after="120"/>
              <w:rPr>
                <w:rFonts w:ascii="Open Sans" w:hAnsi="Open Sans" w:cs="Open Sans"/>
                <w:sz w:val="20"/>
                <w:szCs w:val="20"/>
                <w:lang w:val="en-US"/>
              </w:rPr>
            </w:pPr>
          </w:p>
          <w:p w14:paraId="0D10C764" w14:textId="04040BF1" w:rsidR="003E10EA" w:rsidRPr="0039577F" w:rsidRDefault="005A718A"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S</w:t>
            </w:r>
            <w:r w:rsidR="007B580B" w:rsidRPr="0039577F">
              <w:rPr>
                <w:rFonts w:ascii="Open Sans" w:hAnsi="Open Sans" w:cs="Open Sans"/>
                <w:sz w:val="20"/>
                <w:szCs w:val="20"/>
                <w:lang w:val="en-US"/>
              </w:rPr>
              <w:t xml:space="preserve">ome </w:t>
            </w:r>
            <w:r w:rsidRPr="0039577F">
              <w:rPr>
                <w:rFonts w:ascii="Open Sans" w:hAnsi="Open Sans" w:cs="Open Sans"/>
                <w:sz w:val="20"/>
                <w:szCs w:val="20"/>
                <w:lang w:val="en-US"/>
              </w:rPr>
              <w:t xml:space="preserve">income and expenses </w:t>
            </w:r>
            <w:r w:rsidR="007B580B" w:rsidRPr="0039577F">
              <w:rPr>
                <w:rFonts w:ascii="Open Sans" w:hAnsi="Open Sans" w:cs="Open Sans"/>
                <w:sz w:val="20"/>
                <w:szCs w:val="20"/>
                <w:lang w:val="en-US"/>
              </w:rPr>
              <w:t>are proposed to be part of the Statement of Changes in Net Assets</w:t>
            </w:r>
            <w:r w:rsidRPr="0039577F">
              <w:rPr>
                <w:rFonts w:ascii="Open Sans" w:hAnsi="Open Sans" w:cs="Open Sans"/>
                <w:sz w:val="20"/>
                <w:szCs w:val="20"/>
                <w:lang w:val="en-US"/>
              </w:rPr>
              <w:t xml:space="preserve"> (see question 7)</w:t>
            </w:r>
            <w:r w:rsidR="007B580B" w:rsidRPr="0039577F">
              <w:rPr>
                <w:rFonts w:ascii="Open Sans" w:hAnsi="Open Sans" w:cs="Open Sans"/>
                <w:sz w:val="20"/>
                <w:szCs w:val="20"/>
                <w:lang w:val="en-US"/>
              </w:rPr>
              <w:t>.</w:t>
            </w:r>
          </w:p>
        </w:tc>
      </w:tr>
      <w:tr w:rsidR="00D170DB" w:rsidRPr="0039577F" w14:paraId="0D287F92" w14:textId="77777777" w:rsidTr="00D170DB">
        <w:tc>
          <w:tcPr>
            <w:tcW w:w="4368" w:type="dxa"/>
          </w:tcPr>
          <w:p w14:paraId="42E80824" w14:textId="77777777" w:rsidR="00D170DB" w:rsidRPr="0039577F" w:rsidRDefault="00D170DB" w:rsidP="00AC16B1">
            <w:pPr>
              <w:spacing w:before="120" w:after="120"/>
              <w:jc w:val="both"/>
              <w:rPr>
                <w:rFonts w:ascii="Open Sans" w:hAnsi="Open Sans" w:cs="Open Sans"/>
                <w:b/>
                <w:bCs/>
                <w:sz w:val="20"/>
                <w:szCs w:val="20"/>
              </w:rPr>
            </w:pPr>
          </w:p>
        </w:tc>
        <w:tc>
          <w:tcPr>
            <w:tcW w:w="1711" w:type="dxa"/>
          </w:tcPr>
          <w:p w14:paraId="5A8D37ED" w14:textId="205CF831" w:rsidR="00D170DB" w:rsidRPr="0039577F" w:rsidRDefault="00D170DB"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References</w:t>
            </w:r>
          </w:p>
        </w:tc>
        <w:tc>
          <w:tcPr>
            <w:tcW w:w="8233" w:type="dxa"/>
          </w:tcPr>
          <w:p w14:paraId="76A759AF" w14:textId="23B9131E" w:rsidR="00D170DB" w:rsidRPr="0039577F" w:rsidRDefault="00D170DB"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Response</w:t>
            </w:r>
          </w:p>
        </w:tc>
      </w:tr>
      <w:tr w:rsidR="00D170DB" w:rsidRPr="0039577F" w14:paraId="533A7CFE" w14:textId="77777777" w:rsidTr="00D170DB">
        <w:tc>
          <w:tcPr>
            <w:tcW w:w="4368" w:type="dxa"/>
          </w:tcPr>
          <w:p w14:paraId="4E9E0A2C" w14:textId="3AD54B5D" w:rsidR="00D170DB" w:rsidRPr="0039577F" w:rsidRDefault="00D170DB" w:rsidP="00AC16B1">
            <w:pPr>
              <w:numPr>
                <w:ilvl w:val="0"/>
                <w:numId w:val="5"/>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lastRenderedPageBreak/>
              <w:t>Do you agree with the name of the primary statement being ‘Statement of Income and Expenses’? If not, why not?</w:t>
            </w:r>
          </w:p>
        </w:tc>
        <w:tc>
          <w:tcPr>
            <w:tcW w:w="1711" w:type="dxa"/>
          </w:tcPr>
          <w:p w14:paraId="3727BB3E" w14:textId="77777777" w:rsidR="00D170DB" w:rsidRPr="0039577F" w:rsidRDefault="00D170DB"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BC5.1-BC5.5</w:t>
            </w:r>
          </w:p>
          <w:p w14:paraId="1FF90F68" w14:textId="77777777" w:rsidR="00D170DB" w:rsidRPr="0039577F" w:rsidRDefault="00D170DB" w:rsidP="00AC16B1">
            <w:pPr>
              <w:spacing w:before="120" w:after="120"/>
              <w:rPr>
                <w:rFonts w:ascii="Open Sans" w:hAnsi="Open Sans" w:cs="Open Sans"/>
                <w:b/>
                <w:bCs/>
                <w:sz w:val="20"/>
                <w:szCs w:val="20"/>
                <w:lang w:val="en-US"/>
              </w:rPr>
            </w:pPr>
          </w:p>
        </w:tc>
        <w:tc>
          <w:tcPr>
            <w:tcW w:w="8233" w:type="dxa"/>
          </w:tcPr>
          <w:p w14:paraId="30D0BEF5" w14:textId="219DB704" w:rsidR="00D170DB" w:rsidRPr="0039577F" w:rsidRDefault="0049373C"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Yes, we agree. </w:t>
            </w:r>
          </w:p>
        </w:tc>
      </w:tr>
      <w:tr w:rsidR="00D170DB" w:rsidRPr="0039577F" w14:paraId="1E2B2AA8" w14:textId="77777777" w:rsidTr="00D170DB">
        <w:tc>
          <w:tcPr>
            <w:tcW w:w="4368" w:type="dxa"/>
          </w:tcPr>
          <w:p w14:paraId="3E181EBD" w14:textId="60C1DB6D" w:rsidR="00D170DB" w:rsidRPr="0039577F" w:rsidRDefault="00D170DB" w:rsidP="00AC16B1">
            <w:pPr>
              <w:numPr>
                <w:ilvl w:val="0"/>
                <w:numId w:val="5"/>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39577F" w:rsidRDefault="00D170DB"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G5.5, BC5.6</w:t>
            </w:r>
          </w:p>
          <w:p w14:paraId="3E601040" w14:textId="77777777" w:rsidR="00D170DB" w:rsidRPr="0039577F" w:rsidRDefault="00D170DB" w:rsidP="00AC16B1">
            <w:pPr>
              <w:spacing w:before="120" w:after="120"/>
              <w:rPr>
                <w:rFonts w:ascii="Open Sans" w:hAnsi="Open Sans" w:cs="Open Sans"/>
                <w:b/>
                <w:bCs/>
                <w:sz w:val="20"/>
                <w:szCs w:val="20"/>
                <w:lang w:val="en-US"/>
              </w:rPr>
            </w:pPr>
          </w:p>
        </w:tc>
        <w:tc>
          <w:tcPr>
            <w:tcW w:w="8233" w:type="dxa"/>
          </w:tcPr>
          <w:p w14:paraId="065C4E0E" w14:textId="5E24E27B" w:rsidR="00D170DB" w:rsidRPr="0039577F" w:rsidRDefault="00721859"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Yes</w:t>
            </w:r>
            <w:r w:rsidR="00005B21" w:rsidRPr="0039577F">
              <w:rPr>
                <w:rFonts w:ascii="Open Sans" w:hAnsi="Open Sans" w:cs="Open Sans"/>
                <w:sz w:val="20"/>
                <w:szCs w:val="20"/>
                <w:lang w:val="en-US"/>
              </w:rPr>
              <w:t xml:space="preserve">, we agree. This terminology is more appropriate given that NPOs </w:t>
            </w:r>
            <w:proofErr w:type="gramStart"/>
            <w:r w:rsidR="00005B21" w:rsidRPr="0039577F">
              <w:rPr>
                <w:rFonts w:ascii="Open Sans" w:hAnsi="Open Sans" w:cs="Open Sans"/>
                <w:sz w:val="20"/>
                <w:szCs w:val="20"/>
                <w:lang w:val="en-US"/>
              </w:rPr>
              <w:t>by definition are</w:t>
            </w:r>
            <w:proofErr w:type="gramEnd"/>
            <w:r w:rsidR="00005B21" w:rsidRPr="0039577F">
              <w:rPr>
                <w:rFonts w:ascii="Open Sans" w:hAnsi="Open Sans" w:cs="Open Sans"/>
                <w:sz w:val="20"/>
                <w:szCs w:val="20"/>
                <w:lang w:val="en-US"/>
              </w:rPr>
              <w:t xml:space="preserve"> not focussed on profit generation.</w:t>
            </w:r>
          </w:p>
        </w:tc>
      </w:tr>
      <w:tr w:rsidR="00D170DB" w:rsidRPr="0039577F" w14:paraId="2FAEA57D" w14:textId="77777777" w:rsidTr="00D170DB">
        <w:tc>
          <w:tcPr>
            <w:tcW w:w="4368" w:type="dxa"/>
          </w:tcPr>
          <w:p w14:paraId="02513210" w14:textId="0E0CC7E4" w:rsidR="00D170DB" w:rsidRPr="0039577F" w:rsidRDefault="00D170DB" w:rsidP="00AC16B1">
            <w:pPr>
              <w:numPr>
                <w:ilvl w:val="0"/>
                <w:numId w:val="5"/>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39577F" w:rsidRDefault="00D170DB"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G5.3, AG5.4-AG5.6, BC5.9-BC5.12</w:t>
            </w:r>
          </w:p>
          <w:p w14:paraId="7FFA37F8" w14:textId="77777777" w:rsidR="00D170DB" w:rsidRPr="0039577F" w:rsidRDefault="00D170DB" w:rsidP="00AC16B1">
            <w:pPr>
              <w:spacing w:before="120" w:after="120"/>
              <w:rPr>
                <w:rFonts w:ascii="Open Sans" w:hAnsi="Open Sans" w:cs="Open Sans"/>
                <w:b/>
                <w:bCs/>
                <w:sz w:val="20"/>
                <w:szCs w:val="20"/>
                <w:lang w:val="en-US"/>
              </w:rPr>
            </w:pPr>
          </w:p>
        </w:tc>
        <w:tc>
          <w:tcPr>
            <w:tcW w:w="8233" w:type="dxa"/>
          </w:tcPr>
          <w:p w14:paraId="3D423316" w14:textId="6CAA02B1" w:rsidR="00D170DB" w:rsidRPr="0039577F" w:rsidRDefault="00005B21"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Yes, we feel this is necessary for a reader</w:t>
            </w:r>
            <w:r w:rsidR="0039577F">
              <w:rPr>
                <w:rFonts w:ascii="Open Sans" w:hAnsi="Open Sans" w:cs="Open Sans"/>
                <w:sz w:val="20"/>
                <w:szCs w:val="20"/>
                <w:lang w:val="en-US"/>
              </w:rPr>
              <w:t>’</w:t>
            </w:r>
            <w:r w:rsidRPr="0039577F">
              <w:rPr>
                <w:rFonts w:ascii="Open Sans" w:hAnsi="Open Sans" w:cs="Open Sans"/>
                <w:sz w:val="20"/>
                <w:szCs w:val="20"/>
                <w:lang w:val="en-US"/>
              </w:rPr>
              <w:t xml:space="preserve">s understanding of the </w:t>
            </w:r>
            <w:proofErr w:type="gramStart"/>
            <w:r w:rsidRPr="0039577F">
              <w:rPr>
                <w:rFonts w:ascii="Open Sans" w:hAnsi="Open Sans" w:cs="Open Sans"/>
                <w:sz w:val="20"/>
                <w:szCs w:val="20"/>
                <w:lang w:val="en-US"/>
              </w:rPr>
              <w:t>general purpose</w:t>
            </w:r>
            <w:proofErr w:type="gramEnd"/>
            <w:r w:rsidRPr="0039577F">
              <w:rPr>
                <w:rFonts w:ascii="Open Sans" w:hAnsi="Open Sans" w:cs="Open Sans"/>
                <w:sz w:val="20"/>
                <w:szCs w:val="20"/>
                <w:lang w:val="en-US"/>
              </w:rPr>
              <w:t xml:space="preserve"> financial statements. </w:t>
            </w:r>
          </w:p>
        </w:tc>
      </w:tr>
      <w:tr w:rsidR="00D170DB" w:rsidRPr="0039577F" w14:paraId="55BFD561" w14:textId="3AF17639" w:rsidTr="00D170DB">
        <w:tc>
          <w:tcPr>
            <w:tcW w:w="4368" w:type="dxa"/>
          </w:tcPr>
          <w:p w14:paraId="79DE0702" w14:textId="04CA6BB7" w:rsidR="00D170DB" w:rsidRPr="0039577F" w:rsidRDefault="00D170DB" w:rsidP="00AC16B1">
            <w:pPr>
              <w:numPr>
                <w:ilvl w:val="0"/>
                <w:numId w:val="5"/>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39577F" w:rsidRDefault="00D170DB" w:rsidP="00AC16B1">
            <w:pPr>
              <w:spacing w:before="120" w:after="120"/>
              <w:jc w:val="both"/>
              <w:rPr>
                <w:rFonts w:ascii="Open Sans" w:hAnsi="Open Sans" w:cs="Open Sans"/>
                <w:b/>
                <w:bCs/>
                <w:sz w:val="20"/>
                <w:szCs w:val="20"/>
                <w:lang w:val="en-US"/>
              </w:rPr>
            </w:pPr>
            <w:r w:rsidRPr="0039577F">
              <w:rPr>
                <w:rFonts w:ascii="Open Sans" w:hAnsi="Open Sans" w:cs="Open Sans"/>
                <w:sz w:val="20"/>
                <w:szCs w:val="20"/>
                <w:lang w:val="en-US"/>
              </w:rPr>
              <w:t>Implementation guidance</w:t>
            </w:r>
          </w:p>
        </w:tc>
        <w:tc>
          <w:tcPr>
            <w:tcW w:w="8233" w:type="dxa"/>
          </w:tcPr>
          <w:p w14:paraId="5C513C40" w14:textId="062C9621" w:rsidR="00D170DB" w:rsidRPr="0039577F" w:rsidRDefault="00005B21"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There may be local jurisdictional requirements that require the statement to be one way or another, so we feel that it is important for INPAG to provide a choice. However, we think it would be beneficial for comparability between NPOs, that there is a suggested layout of the statement, but allows alternatives should this better represent the activities of the NPO. </w:t>
            </w:r>
          </w:p>
        </w:tc>
      </w:tr>
    </w:tbl>
    <w:p w14:paraId="2237F06C" w14:textId="77777777" w:rsidR="00C77881" w:rsidRPr="0039577F" w:rsidRDefault="00C77881" w:rsidP="00AC16B1">
      <w:pPr>
        <w:spacing w:before="120" w:after="120"/>
        <w:rPr>
          <w:rFonts w:ascii="Open Sans" w:hAnsi="Open Sans" w:cs="Open Sans"/>
          <w:sz w:val="20"/>
          <w:szCs w:val="20"/>
        </w:rPr>
      </w:pPr>
      <w:r w:rsidRPr="0039577F">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39577F" w14:paraId="5B6DD1B0" w14:textId="77777777" w:rsidTr="004B420E">
        <w:tc>
          <w:tcPr>
            <w:tcW w:w="4388" w:type="dxa"/>
          </w:tcPr>
          <w:p w14:paraId="7E907B6C" w14:textId="1D96A2F4" w:rsidR="002A167D" w:rsidRPr="0039577F" w:rsidRDefault="002A167D" w:rsidP="00AC16B1">
            <w:pPr>
              <w:spacing w:before="120" w:after="120"/>
              <w:jc w:val="both"/>
              <w:rPr>
                <w:rFonts w:ascii="Open Sans" w:hAnsi="Open Sans" w:cs="Open Sans"/>
                <w:b/>
                <w:bCs/>
                <w:sz w:val="20"/>
                <w:szCs w:val="20"/>
                <w:lang w:val="en-US"/>
              </w:rPr>
            </w:pPr>
            <w:r w:rsidRPr="0039577F">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39577F" w:rsidRDefault="002A167D" w:rsidP="00AC16B1">
            <w:pPr>
              <w:spacing w:before="120" w:after="120"/>
              <w:jc w:val="both"/>
              <w:rPr>
                <w:rFonts w:ascii="Open Sans" w:hAnsi="Open Sans" w:cs="Open Sans"/>
                <w:b/>
                <w:bCs/>
                <w:sz w:val="20"/>
                <w:szCs w:val="20"/>
                <w:lang w:val="en-US"/>
              </w:rPr>
            </w:pPr>
          </w:p>
        </w:tc>
        <w:tc>
          <w:tcPr>
            <w:tcW w:w="9924" w:type="dxa"/>
            <w:gridSpan w:val="2"/>
          </w:tcPr>
          <w:p w14:paraId="268F1D90" w14:textId="508820A0" w:rsidR="002A167D" w:rsidRPr="0039577F" w:rsidRDefault="00791E3A" w:rsidP="00AC16B1">
            <w:pPr>
              <w:pStyle w:val="TableParagraph"/>
              <w:spacing w:before="120" w:after="120" w:line="264" w:lineRule="auto"/>
              <w:ind w:left="0"/>
              <w:rPr>
                <w:rFonts w:ascii="Open Sans" w:hAnsi="Open Sans" w:cs="Open Sans"/>
                <w:b/>
                <w:bCs/>
                <w:sz w:val="20"/>
                <w:szCs w:val="20"/>
              </w:rPr>
            </w:pPr>
            <w:r w:rsidRPr="0039577F">
              <w:rPr>
                <w:rFonts w:ascii="Open Sans" w:hAnsi="Open Sans" w:cs="Open Sans"/>
                <w:sz w:val="20"/>
                <w:szCs w:val="20"/>
              </w:rPr>
              <w:t>This</w:t>
            </w:r>
            <w:r w:rsidRPr="0039577F">
              <w:rPr>
                <w:rFonts w:ascii="Open Sans" w:hAnsi="Open Sans" w:cs="Open Sans"/>
                <w:spacing w:val="-8"/>
                <w:sz w:val="20"/>
                <w:szCs w:val="20"/>
              </w:rPr>
              <w:t xml:space="preserve"> </w:t>
            </w:r>
            <w:r w:rsidRPr="0039577F">
              <w:rPr>
                <w:rFonts w:ascii="Open Sans" w:hAnsi="Open Sans" w:cs="Open Sans"/>
                <w:sz w:val="20"/>
                <w:szCs w:val="20"/>
              </w:rPr>
              <w:t>statement</w:t>
            </w:r>
            <w:r w:rsidRPr="0039577F">
              <w:rPr>
                <w:rFonts w:ascii="Open Sans" w:hAnsi="Open Sans" w:cs="Open Sans"/>
                <w:spacing w:val="-9"/>
                <w:sz w:val="20"/>
                <w:szCs w:val="20"/>
              </w:rPr>
              <w:t xml:space="preserve"> </w:t>
            </w:r>
            <w:r w:rsidRPr="0039577F">
              <w:rPr>
                <w:rFonts w:ascii="Open Sans" w:hAnsi="Open Sans" w:cs="Open Sans"/>
                <w:sz w:val="20"/>
                <w:szCs w:val="20"/>
              </w:rPr>
              <w:t>is</w:t>
            </w:r>
            <w:r w:rsidRPr="0039577F">
              <w:rPr>
                <w:rFonts w:ascii="Open Sans" w:hAnsi="Open Sans" w:cs="Open Sans"/>
                <w:spacing w:val="-8"/>
                <w:sz w:val="20"/>
                <w:szCs w:val="20"/>
              </w:rPr>
              <w:t xml:space="preserve"> </w:t>
            </w:r>
            <w:r w:rsidRPr="0039577F">
              <w:rPr>
                <w:rFonts w:ascii="Open Sans" w:hAnsi="Open Sans" w:cs="Open Sans"/>
                <w:sz w:val="20"/>
                <w:szCs w:val="20"/>
              </w:rPr>
              <w:t>derived</w:t>
            </w:r>
            <w:r w:rsidRPr="0039577F">
              <w:rPr>
                <w:rFonts w:ascii="Open Sans" w:hAnsi="Open Sans" w:cs="Open Sans"/>
                <w:spacing w:val="-9"/>
                <w:sz w:val="20"/>
                <w:szCs w:val="20"/>
              </w:rPr>
              <w:t xml:space="preserve"> </w:t>
            </w:r>
            <w:r w:rsidRPr="0039577F">
              <w:rPr>
                <w:rFonts w:ascii="Open Sans" w:hAnsi="Open Sans" w:cs="Open Sans"/>
                <w:sz w:val="20"/>
                <w:szCs w:val="20"/>
              </w:rPr>
              <w:t>from</w:t>
            </w:r>
            <w:r w:rsidRPr="0039577F">
              <w:rPr>
                <w:rFonts w:ascii="Open Sans" w:hAnsi="Open Sans" w:cs="Open Sans"/>
                <w:spacing w:val="-7"/>
                <w:sz w:val="20"/>
                <w:szCs w:val="20"/>
              </w:rPr>
              <w:t xml:space="preserve"> </w:t>
            </w:r>
            <w:r w:rsidRPr="0039577F">
              <w:rPr>
                <w:rFonts w:ascii="Open Sans" w:hAnsi="Open Sans" w:cs="Open Sans"/>
                <w:sz w:val="20"/>
                <w:szCs w:val="20"/>
              </w:rPr>
              <w:t>the</w:t>
            </w:r>
            <w:r w:rsidRPr="0039577F">
              <w:rPr>
                <w:rFonts w:ascii="Open Sans" w:hAnsi="Open Sans" w:cs="Open Sans"/>
                <w:spacing w:val="-9"/>
                <w:sz w:val="20"/>
                <w:szCs w:val="20"/>
              </w:rPr>
              <w:t xml:space="preserve"> </w:t>
            </w:r>
            <w:r w:rsidRPr="0039577F">
              <w:rPr>
                <w:rFonts w:ascii="Open Sans" w:hAnsi="Open Sans" w:cs="Open Sans"/>
                <w:sz w:val="20"/>
                <w:szCs w:val="20"/>
              </w:rPr>
              <w:t>Statement</w:t>
            </w:r>
            <w:r w:rsidRPr="0039577F">
              <w:rPr>
                <w:rFonts w:ascii="Open Sans" w:hAnsi="Open Sans" w:cs="Open Sans"/>
                <w:spacing w:val="-9"/>
                <w:sz w:val="20"/>
                <w:szCs w:val="20"/>
              </w:rPr>
              <w:t xml:space="preserve"> </w:t>
            </w:r>
            <w:r w:rsidRPr="0039577F">
              <w:rPr>
                <w:rFonts w:ascii="Open Sans" w:hAnsi="Open Sans" w:cs="Open Sans"/>
                <w:sz w:val="20"/>
                <w:szCs w:val="20"/>
              </w:rPr>
              <w:t>of</w:t>
            </w:r>
            <w:r w:rsidRPr="0039577F">
              <w:rPr>
                <w:rFonts w:ascii="Open Sans" w:hAnsi="Open Sans" w:cs="Open Sans"/>
                <w:spacing w:val="-9"/>
                <w:sz w:val="20"/>
                <w:szCs w:val="20"/>
              </w:rPr>
              <w:t xml:space="preserve"> </w:t>
            </w:r>
            <w:r w:rsidRPr="0039577F">
              <w:rPr>
                <w:rFonts w:ascii="Open Sans" w:hAnsi="Open Sans" w:cs="Open Sans"/>
                <w:sz w:val="20"/>
                <w:szCs w:val="20"/>
              </w:rPr>
              <w:t>Changes</w:t>
            </w:r>
            <w:r w:rsidRPr="0039577F">
              <w:rPr>
                <w:rFonts w:ascii="Open Sans" w:hAnsi="Open Sans" w:cs="Open Sans"/>
                <w:spacing w:val="-8"/>
                <w:sz w:val="20"/>
                <w:szCs w:val="20"/>
              </w:rPr>
              <w:t xml:space="preserve"> </w:t>
            </w:r>
            <w:r w:rsidRPr="0039577F">
              <w:rPr>
                <w:rFonts w:ascii="Open Sans" w:hAnsi="Open Sans" w:cs="Open Sans"/>
                <w:sz w:val="20"/>
                <w:szCs w:val="20"/>
              </w:rPr>
              <w:t>in</w:t>
            </w:r>
            <w:r w:rsidRPr="0039577F">
              <w:rPr>
                <w:rFonts w:ascii="Open Sans" w:hAnsi="Open Sans" w:cs="Open Sans"/>
                <w:spacing w:val="-8"/>
                <w:sz w:val="20"/>
                <w:szCs w:val="20"/>
              </w:rPr>
              <w:t xml:space="preserve"> </w:t>
            </w:r>
            <w:r w:rsidRPr="0039577F">
              <w:rPr>
                <w:rFonts w:ascii="Open Sans" w:hAnsi="Open Sans" w:cs="Open Sans"/>
                <w:sz w:val="20"/>
                <w:szCs w:val="20"/>
              </w:rPr>
              <w:t>Net</w:t>
            </w:r>
            <w:r w:rsidRPr="0039577F">
              <w:rPr>
                <w:rFonts w:ascii="Open Sans" w:hAnsi="Open Sans" w:cs="Open Sans"/>
                <w:spacing w:val="-9"/>
                <w:sz w:val="20"/>
                <w:szCs w:val="20"/>
              </w:rPr>
              <w:t xml:space="preserve"> </w:t>
            </w:r>
            <w:r w:rsidRPr="0039577F">
              <w:rPr>
                <w:rFonts w:ascii="Open Sans" w:hAnsi="Open Sans" w:cs="Open Sans"/>
                <w:sz w:val="20"/>
                <w:szCs w:val="20"/>
              </w:rPr>
              <w:t>Equity</w:t>
            </w:r>
            <w:r w:rsidRPr="0039577F">
              <w:rPr>
                <w:rFonts w:ascii="Open Sans" w:hAnsi="Open Sans" w:cs="Open Sans"/>
                <w:spacing w:val="-9"/>
                <w:sz w:val="20"/>
                <w:szCs w:val="20"/>
              </w:rPr>
              <w:t xml:space="preserve"> </w:t>
            </w:r>
            <w:r w:rsidRPr="0039577F">
              <w:rPr>
                <w:rFonts w:ascii="Open Sans" w:hAnsi="Open Sans" w:cs="Open Sans"/>
                <w:sz w:val="20"/>
                <w:szCs w:val="20"/>
              </w:rPr>
              <w:t>included</w:t>
            </w:r>
            <w:r w:rsidRPr="0039577F">
              <w:rPr>
                <w:rFonts w:ascii="Open Sans" w:hAnsi="Open Sans" w:cs="Open Sans"/>
                <w:spacing w:val="-9"/>
                <w:sz w:val="20"/>
                <w:szCs w:val="20"/>
              </w:rPr>
              <w:t xml:space="preserve"> </w:t>
            </w:r>
            <w:r w:rsidRPr="0039577F">
              <w:rPr>
                <w:rFonts w:ascii="Open Sans" w:hAnsi="Open Sans" w:cs="Open Sans"/>
                <w:sz w:val="20"/>
                <w:szCs w:val="20"/>
              </w:rPr>
              <w:t>in</w:t>
            </w:r>
            <w:r w:rsidRPr="0039577F">
              <w:rPr>
                <w:rFonts w:ascii="Open Sans" w:hAnsi="Open Sans" w:cs="Open Sans"/>
                <w:spacing w:val="-8"/>
                <w:sz w:val="20"/>
                <w:szCs w:val="20"/>
              </w:rPr>
              <w:t xml:space="preserve"> </w:t>
            </w:r>
            <w:r w:rsidRPr="0039577F">
              <w:rPr>
                <w:rFonts w:ascii="Open Sans" w:hAnsi="Open Sans" w:cs="Open Sans"/>
                <w:sz w:val="20"/>
                <w:szCs w:val="20"/>
              </w:rPr>
              <w:t>the</w:t>
            </w:r>
            <w:r w:rsidRPr="0039577F">
              <w:rPr>
                <w:rFonts w:ascii="Open Sans" w:hAnsi="Open Sans" w:cs="Open Sans"/>
                <w:spacing w:val="-11"/>
                <w:sz w:val="20"/>
                <w:szCs w:val="20"/>
              </w:rPr>
              <w:t xml:space="preserve"> </w:t>
            </w:r>
            <w:r w:rsidRPr="0039577F">
              <w:rPr>
                <w:rFonts w:ascii="Open Sans" w:hAnsi="Open Sans" w:cs="Open Sans"/>
                <w:i/>
                <w:sz w:val="20"/>
                <w:szCs w:val="20"/>
              </w:rPr>
              <w:t>IFRS</w:t>
            </w:r>
            <w:r w:rsidRPr="0039577F">
              <w:rPr>
                <w:rFonts w:ascii="Open Sans" w:hAnsi="Open Sans" w:cs="Open Sans"/>
                <w:i/>
                <w:spacing w:val="-8"/>
                <w:sz w:val="20"/>
                <w:szCs w:val="20"/>
              </w:rPr>
              <w:t xml:space="preserve"> </w:t>
            </w:r>
            <w:r w:rsidRPr="0039577F">
              <w:rPr>
                <w:rFonts w:ascii="Open Sans" w:hAnsi="Open Sans" w:cs="Open Sans"/>
                <w:i/>
                <w:sz w:val="20"/>
                <w:szCs w:val="20"/>
              </w:rPr>
              <w:t>for</w:t>
            </w:r>
            <w:r w:rsidRPr="0039577F">
              <w:rPr>
                <w:rFonts w:ascii="Open Sans" w:hAnsi="Open Sans" w:cs="Open Sans"/>
                <w:i/>
                <w:spacing w:val="-9"/>
                <w:sz w:val="20"/>
                <w:szCs w:val="20"/>
              </w:rPr>
              <w:t xml:space="preserve"> </w:t>
            </w:r>
            <w:r w:rsidRPr="0039577F">
              <w:rPr>
                <w:rFonts w:ascii="Open Sans" w:hAnsi="Open Sans" w:cs="Open Sans"/>
                <w:i/>
                <w:sz w:val="20"/>
                <w:szCs w:val="20"/>
              </w:rPr>
              <w:t>SMEs</w:t>
            </w:r>
            <w:r w:rsidRPr="0039577F">
              <w:rPr>
                <w:rFonts w:ascii="Open Sans" w:hAnsi="Open Sans" w:cs="Open Sans"/>
                <w:i/>
                <w:spacing w:val="-7"/>
                <w:sz w:val="20"/>
                <w:szCs w:val="20"/>
              </w:rPr>
              <w:t xml:space="preserve"> </w:t>
            </w:r>
            <w:r w:rsidRPr="0039577F">
              <w:rPr>
                <w:rFonts w:ascii="Open Sans" w:hAnsi="Open Sans" w:cs="Open Sans"/>
                <w:sz w:val="20"/>
                <w:szCs w:val="20"/>
              </w:rPr>
              <w:t xml:space="preserve">Accounting </w:t>
            </w:r>
            <w:r w:rsidRPr="0039577F">
              <w:rPr>
                <w:rFonts w:ascii="Open Sans" w:hAnsi="Open Sans" w:cs="Open Sans"/>
                <w:spacing w:val="-2"/>
                <w:sz w:val="20"/>
                <w:szCs w:val="20"/>
              </w:rPr>
              <w:t>Standard.</w:t>
            </w:r>
            <w:r w:rsidR="00E63126" w:rsidRPr="0039577F">
              <w:rPr>
                <w:rFonts w:ascii="Open Sans" w:hAnsi="Open Sans" w:cs="Open Sans"/>
                <w:spacing w:val="-2"/>
                <w:sz w:val="20"/>
                <w:szCs w:val="20"/>
              </w:rPr>
              <w:t xml:space="preserve"> </w:t>
            </w:r>
            <w:r w:rsidR="002D3E58" w:rsidRPr="0039577F">
              <w:rPr>
                <w:rFonts w:ascii="Open Sans" w:hAnsi="Open Sans" w:cs="Open Sans"/>
                <w:spacing w:val="-2"/>
                <w:sz w:val="20"/>
                <w:szCs w:val="20"/>
              </w:rPr>
              <w:t>I</w:t>
            </w:r>
            <w:r w:rsidRPr="0039577F">
              <w:rPr>
                <w:rFonts w:ascii="Open Sans" w:hAnsi="Open Sans" w:cs="Open Sans"/>
                <w:sz w:val="20"/>
                <w:szCs w:val="20"/>
              </w:rPr>
              <w:t xml:space="preserve">t includes </w:t>
            </w:r>
            <w:proofErr w:type="gramStart"/>
            <w:r w:rsidRPr="0039577F">
              <w:rPr>
                <w:rFonts w:ascii="Open Sans" w:hAnsi="Open Sans" w:cs="Open Sans"/>
                <w:sz w:val="20"/>
                <w:szCs w:val="20"/>
              </w:rPr>
              <w:t>a number of</w:t>
            </w:r>
            <w:proofErr w:type="gramEnd"/>
            <w:r w:rsidRPr="0039577F">
              <w:rPr>
                <w:rFonts w:ascii="Open Sans" w:hAnsi="Open Sans" w:cs="Open Sans"/>
                <w:sz w:val="20"/>
                <w:szCs w:val="20"/>
              </w:rPr>
              <w:t xml:space="preserve"> transactions</w:t>
            </w:r>
            <w:r w:rsidRPr="0039577F">
              <w:rPr>
                <w:rFonts w:ascii="Open Sans" w:hAnsi="Open Sans" w:cs="Open Sans"/>
                <w:spacing w:val="-3"/>
                <w:sz w:val="20"/>
                <w:szCs w:val="20"/>
              </w:rPr>
              <w:t xml:space="preserve"> </w:t>
            </w:r>
            <w:r w:rsidRPr="0039577F">
              <w:rPr>
                <w:rFonts w:ascii="Open Sans" w:hAnsi="Open Sans" w:cs="Open Sans"/>
                <w:sz w:val="20"/>
                <w:szCs w:val="20"/>
              </w:rPr>
              <w:t>that</w:t>
            </w:r>
            <w:r w:rsidRPr="0039577F">
              <w:rPr>
                <w:rFonts w:ascii="Open Sans" w:hAnsi="Open Sans" w:cs="Open Sans"/>
                <w:spacing w:val="-4"/>
                <w:sz w:val="20"/>
                <w:szCs w:val="20"/>
              </w:rPr>
              <w:t xml:space="preserve"> </w:t>
            </w:r>
            <w:r w:rsidRPr="0039577F">
              <w:rPr>
                <w:rFonts w:ascii="Open Sans" w:hAnsi="Open Sans" w:cs="Open Sans"/>
                <w:sz w:val="20"/>
                <w:szCs w:val="20"/>
              </w:rPr>
              <w:t>under</w:t>
            </w:r>
            <w:r w:rsidRPr="0039577F">
              <w:rPr>
                <w:rFonts w:ascii="Open Sans" w:hAnsi="Open Sans" w:cs="Open Sans"/>
                <w:spacing w:val="-4"/>
                <w:sz w:val="20"/>
                <w:szCs w:val="20"/>
              </w:rPr>
              <w:t xml:space="preserve"> </w:t>
            </w:r>
            <w:r w:rsidRPr="0039577F">
              <w:rPr>
                <w:rFonts w:ascii="Open Sans" w:hAnsi="Open Sans" w:cs="Open Sans"/>
                <w:sz w:val="20"/>
                <w:szCs w:val="20"/>
              </w:rPr>
              <w:t>the</w:t>
            </w:r>
            <w:r w:rsidRPr="0039577F">
              <w:rPr>
                <w:rFonts w:ascii="Open Sans" w:hAnsi="Open Sans" w:cs="Open Sans"/>
                <w:spacing w:val="-3"/>
                <w:sz w:val="20"/>
                <w:szCs w:val="20"/>
              </w:rPr>
              <w:t xml:space="preserve"> </w:t>
            </w:r>
            <w:r w:rsidRPr="0039577F">
              <w:rPr>
                <w:rFonts w:ascii="Open Sans" w:hAnsi="Open Sans" w:cs="Open Sans"/>
                <w:i/>
                <w:sz w:val="20"/>
                <w:szCs w:val="20"/>
              </w:rPr>
              <w:t>IFRS</w:t>
            </w:r>
            <w:r w:rsidRPr="0039577F">
              <w:rPr>
                <w:rFonts w:ascii="Open Sans" w:hAnsi="Open Sans" w:cs="Open Sans"/>
                <w:i/>
                <w:spacing w:val="-3"/>
                <w:sz w:val="20"/>
                <w:szCs w:val="20"/>
              </w:rPr>
              <w:t xml:space="preserve"> </w:t>
            </w:r>
            <w:r w:rsidRPr="0039577F">
              <w:rPr>
                <w:rFonts w:ascii="Open Sans" w:hAnsi="Open Sans" w:cs="Open Sans"/>
                <w:i/>
                <w:sz w:val="20"/>
                <w:szCs w:val="20"/>
              </w:rPr>
              <w:t>for</w:t>
            </w:r>
            <w:r w:rsidRPr="0039577F">
              <w:rPr>
                <w:rFonts w:ascii="Open Sans" w:hAnsi="Open Sans" w:cs="Open Sans"/>
                <w:i/>
                <w:spacing w:val="-4"/>
                <w:sz w:val="20"/>
                <w:szCs w:val="20"/>
              </w:rPr>
              <w:t xml:space="preserve"> </w:t>
            </w:r>
            <w:r w:rsidRPr="0039577F">
              <w:rPr>
                <w:rFonts w:ascii="Open Sans" w:hAnsi="Open Sans" w:cs="Open Sans"/>
                <w:i/>
                <w:sz w:val="20"/>
                <w:szCs w:val="20"/>
              </w:rPr>
              <w:t>SMEs</w:t>
            </w:r>
            <w:r w:rsidRPr="0039577F">
              <w:rPr>
                <w:rFonts w:ascii="Open Sans" w:hAnsi="Open Sans" w:cs="Open Sans"/>
                <w:i/>
                <w:spacing w:val="-2"/>
                <w:sz w:val="20"/>
                <w:szCs w:val="20"/>
              </w:rPr>
              <w:t xml:space="preserve"> </w:t>
            </w:r>
            <w:r w:rsidRPr="0039577F">
              <w:rPr>
                <w:rFonts w:ascii="Open Sans" w:hAnsi="Open Sans" w:cs="Open Sans"/>
                <w:sz w:val="20"/>
                <w:szCs w:val="20"/>
              </w:rPr>
              <w:t>Accounting</w:t>
            </w:r>
            <w:r w:rsidRPr="0039577F">
              <w:rPr>
                <w:rFonts w:ascii="Open Sans" w:hAnsi="Open Sans" w:cs="Open Sans"/>
                <w:spacing w:val="-3"/>
                <w:sz w:val="20"/>
                <w:szCs w:val="20"/>
              </w:rPr>
              <w:t xml:space="preserve"> </w:t>
            </w:r>
            <w:r w:rsidRPr="0039577F">
              <w:rPr>
                <w:rFonts w:ascii="Open Sans" w:hAnsi="Open Sans" w:cs="Open Sans"/>
                <w:sz w:val="20"/>
                <w:szCs w:val="20"/>
              </w:rPr>
              <w:t>Standard</w:t>
            </w:r>
            <w:r w:rsidRPr="0039577F">
              <w:rPr>
                <w:rFonts w:ascii="Open Sans" w:hAnsi="Open Sans" w:cs="Open Sans"/>
                <w:spacing w:val="-4"/>
                <w:sz w:val="20"/>
                <w:szCs w:val="20"/>
              </w:rPr>
              <w:t xml:space="preserve"> </w:t>
            </w:r>
            <w:r w:rsidRPr="0039577F">
              <w:rPr>
                <w:rFonts w:ascii="Open Sans" w:hAnsi="Open Sans" w:cs="Open Sans"/>
                <w:sz w:val="20"/>
                <w:szCs w:val="20"/>
              </w:rPr>
              <w:t>would</w:t>
            </w:r>
            <w:r w:rsidRPr="0039577F">
              <w:rPr>
                <w:rFonts w:ascii="Open Sans" w:hAnsi="Open Sans" w:cs="Open Sans"/>
                <w:spacing w:val="-4"/>
                <w:sz w:val="20"/>
                <w:szCs w:val="20"/>
              </w:rPr>
              <w:t xml:space="preserve"> </w:t>
            </w:r>
            <w:r w:rsidRPr="0039577F">
              <w:rPr>
                <w:rFonts w:ascii="Open Sans" w:hAnsi="Open Sans" w:cs="Open Sans"/>
                <w:sz w:val="20"/>
                <w:szCs w:val="20"/>
              </w:rPr>
              <w:t>be</w:t>
            </w:r>
            <w:r w:rsidRPr="0039577F">
              <w:rPr>
                <w:rFonts w:ascii="Open Sans" w:hAnsi="Open Sans" w:cs="Open Sans"/>
                <w:spacing w:val="-4"/>
                <w:sz w:val="20"/>
                <w:szCs w:val="20"/>
              </w:rPr>
              <w:t xml:space="preserve"> </w:t>
            </w:r>
            <w:r w:rsidRPr="0039577F">
              <w:rPr>
                <w:rFonts w:ascii="Open Sans" w:hAnsi="Open Sans" w:cs="Open Sans"/>
                <w:sz w:val="20"/>
                <w:szCs w:val="20"/>
              </w:rPr>
              <w:t>part</w:t>
            </w:r>
            <w:r w:rsidRPr="0039577F">
              <w:rPr>
                <w:rFonts w:ascii="Open Sans" w:hAnsi="Open Sans" w:cs="Open Sans"/>
                <w:spacing w:val="-4"/>
                <w:sz w:val="20"/>
                <w:szCs w:val="20"/>
              </w:rPr>
              <w:t xml:space="preserve"> </w:t>
            </w:r>
            <w:r w:rsidRPr="0039577F">
              <w:rPr>
                <w:rFonts w:ascii="Open Sans" w:hAnsi="Open Sans" w:cs="Open Sans"/>
                <w:sz w:val="20"/>
                <w:szCs w:val="20"/>
              </w:rPr>
              <w:t>of</w:t>
            </w:r>
            <w:r w:rsidRPr="0039577F">
              <w:rPr>
                <w:rFonts w:ascii="Open Sans" w:hAnsi="Open Sans" w:cs="Open Sans"/>
                <w:spacing w:val="-4"/>
                <w:sz w:val="20"/>
                <w:szCs w:val="20"/>
              </w:rPr>
              <w:t xml:space="preserve"> </w:t>
            </w:r>
            <w:r w:rsidRPr="0039577F">
              <w:rPr>
                <w:rFonts w:ascii="Open Sans" w:hAnsi="Open Sans" w:cs="Open Sans"/>
                <w:sz w:val="20"/>
                <w:szCs w:val="20"/>
              </w:rPr>
              <w:t>Other</w:t>
            </w:r>
            <w:r w:rsidRPr="0039577F">
              <w:rPr>
                <w:rFonts w:ascii="Open Sans" w:hAnsi="Open Sans" w:cs="Open Sans"/>
                <w:spacing w:val="-4"/>
                <w:sz w:val="20"/>
                <w:szCs w:val="20"/>
              </w:rPr>
              <w:t xml:space="preserve"> </w:t>
            </w:r>
            <w:r w:rsidRPr="0039577F">
              <w:rPr>
                <w:rFonts w:ascii="Open Sans" w:hAnsi="Open Sans" w:cs="Open Sans"/>
                <w:sz w:val="20"/>
                <w:szCs w:val="20"/>
              </w:rPr>
              <w:t>Comprehensive</w:t>
            </w:r>
            <w:r w:rsidRPr="0039577F">
              <w:rPr>
                <w:rFonts w:ascii="Open Sans" w:hAnsi="Open Sans" w:cs="Open Sans"/>
                <w:spacing w:val="-4"/>
                <w:sz w:val="20"/>
                <w:szCs w:val="20"/>
              </w:rPr>
              <w:t xml:space="preserve"> </w:t>
            </w:r>
            <w:r w:rsidRPr="0039577F">
              <w:rPr>
                <w:rFonts w:ascii="Open Sans" w:hAnsi="Open Sans" w:cs="Open Sans"/>
                <w:sz w:val="20"/>
                <w:szCs w:val="20"/>
              </w:rPr>
              <w:t>income.</w:t>
            </w:r>
          </w:p>
        </w:tc>
      </w:tr>
      <w:tr w:rsidR="005A718A" w:rsidRPr="0039577F" w14:paraId="14202B90" w14:textId="77777777" w:rsidTr="00A276B0">
        <w:tc>
          <w:tcPr>
            <w:tcW w:w="4388" w:type="dxa"/>
          </w:tcPr>
          <w:p w14:paraId="78EC3461" w14:textId="77777777" w:rsidR="005A718A" w:rsidRPr="0039577F" w:rsidRDefault="005A718A" w:rsidP="00AC16B1">
            <w:pPr>
              <w:spacing w:before="120" w:after="120"/>
              <w:jc w:val="both"/>
              <w:rPr>
                <w:rFonts w:ascii="Open Sans" w:hAnsi="Open Sans" w:cs="Open Sans"/>
                <w:b/>
                <w:bCs/>
                <w:sz w:val="20"/>
                <w:szCs w:val="20"/>
                <w:lang w:val="en-US"/>
              </w:rPr>
            </w:pPr>
          </w:p>
        </w:tc>
        <w:tc>
          <w:tcPr>
            <w:tcW w:w="1642" w:type="dxa"/>
          </w:tcPr>
          <w:p w14:paraId="18A267E6" w14:textId="5776AA50" w:rsidR="005A718A" w:rsidRPr="0039577F" w:rsidRDefault="005A718A"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References</w:t>
            </w:r>
          </w:p>
        </w:tc>
        <w:tc>
          <w:tcPr>
            <w:tcW w:w="8282" w:type="dxa"/>
          </w:tcPr>
          <w:p w14:paraId="2978A35F" w14:textId="7E709CF2" w:rsidR="005A718A" w:rsidRPr="0039577F" w:rsidRDefault="005A718A"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Responses</w:t>
            </w:r>
          </w:p>
        </w:tc>
      </w:tr>
      <w:tr w:rsidR="005A718A" w:rsidRPr="0039577F" w14:paraId="7FBCEEF4" w14:textId="77777777" w:rsidTr="00A276B0">
        <w:tc>
          <w:tcPr>
            <w:tcW w:w="4388" w:type="dxa"/>
          </w:tcPr>
          <w:p w14:paraId="03F989DA" w14:textId="27A0E3C4" w:rsidR="005A718A" w:rsidRPr="0039577F" w:rsidRDefault="005A718A" w:rsidP="00AC16B1">
            <w:pPr>
              <w:numPr>
                <w:ilvl w:val="0"/>
                <w:numId w:val="6"/>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39577F" w:rsidRDefault="005A718A"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G6.2, BC5.13-BC5.16, BC6.1-BC6.5</w:t>
            </w:r>
          </w:p>
          <w:p w14:paraId="172A2E9D" w14:textId="77777777" w:rsidR="005A718A" w:rsidRPr="0039577F" w:rsidRDefault="005A718A" w:rsidP="00AC16B1">
            <w:pPr>
              <w:spacing w:before="120" w:after="120"/>
              <w:rPr>
                <w:rFonts w:ascii="Open Sans" w:hAnsi="Open Sans" w:cs="Open Sans"/>
                <w:sz w:val="20"/>
                <w:szCs w:val="20"/>
                <w:lang w:val="en-US"/>
              </w:rPr>
            </w:pPr>
          </w:p>
        </w:tc>
        <w:tc>
          <w:tcPr>
            <w:tcW w:w="8282" w:type="dxa"/>
          </w:tcPr>
          <w:p w14:paraId="484AFC46" w14:textId="3851F8CF" w:rsidR="005A718A" w:rsidRPr="0039577F" w:rsidRDefault="00721859"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Yes</w:t>
            </w:r>
            <w:r w:rsidR="00C550B2" w:rsidRPr="0039577F">
              <w:rPr>
                <w:rFonts w:ascii="Open Sans" w:hAnsi="Open Sans" w:cs="Open Sans"/>
                <w:sz w:val="20"/>
                <w:szCs w:val="20"/>
                <w:lang w:val="en-US"/>
              </w:rPr>
              <w:t xml:space="preserve">, we agree with this proposal. </w:t>
            </w:r>
          </w:p>
        </w:tc>
      </w:tr>
      <w:tr w:rsidR="005A718A" w:rsidRPr="0039577F" w14:paraId="3FA11B52" w14:textId="741A974D" w:rsidTr="00A276B0">
        <w:tc>
          <w:tcPr>
            <w:tcW w:w="4388" w:type="dxa"/>
          </w:tcPr>
          <w:p w14:paraId="5B860600" w14:textId="74B3A10A" w:rsidR="005A718A" w:rsidRPr="0039577F" w:rsidRDefault="005A718A" w:rsidP="00AC16B1">
            <w:pPr>
              <w:numPr>
                <w:ilvl w:val="0"/>
                <w:numId w:val="6"/>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39577F" w:rsidRDefault="005A718A" w:rsidP="00AC16B1">
            <w:pPr>
              <w:spacing w:before="120" w:after="120"/>
              <w:jc w:val="both"/>
              <w:rPr>
                <w:rFonts w:ascii="Open Sans" w:hAnsi="Open Sans" w:cs="Open Sans"/>
                <w:b/>
                <w:bCs/>
                <w:sz w:val="20"/>
                <w:szCs w:val="20"/>
                <w:lang w:val="en-US"/>
              </w:rPr>
            </w:pPr>
            <w:r w:rsidRPr="0039577F">
              <w:rPr>
                <w:rFonts w:ascii="Open Sans" w:hAnsi="Open Sans" w:cs="Open Sans"/>
                <w:sz w:val="20"/>
                <w:szCs w:val="20"/>
                <w:lang w:val="en-US"/>
              </w:rPr>
              <w:t>G6.4</w:t>
            </w:r>
          </w:p>
        </w:tc>
        <w:tc>
          <w:tcPr>
            <w:tcW w:w="8282" w:type="dxa"/>
          </w:tcPr>
          <w:p w14:paraId="3B2B4C01" w14:textId="25D2631D" w:rsidR="005A718A" w:rsidRPr="0039577F" w:rsidRDefault="002C397F"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Yes</w:t>
            </w:r>
            <w:r w:rsidR="00C550B2" w:rsidRPr="0039577F">
              <w:rPr>
                <w:rFonts w:ascii="Open Sans" w:hAnsi="Open Sans" w:cs="Open Sans"/>
                <w:sz w:val="20"/>
                <w:szCs w:val="20"/>
                <w:lang w:val="en-US"/>
              </w:rPr>
              <w:t xml:space="preserve">, we feel it is important for a user’s understanding of the </w:t>
            </w:r>
            <w:proofErr w:type="gramStart"/>
            <w:r w:rsidR="00C550B2" w:rsidRPr="0039577F">
              <w:rPr>
                <w:rFonts w:ascii="Open Sans" w:hAnsi="Open Sans" w:cs="Open Sans"/>
                <w:sz w:val="20"/>
                <w:szCs w:val="20"/>
                <w:lang w:val="en-US"/>
              </w:rPr>
              <w:t>general purpose</w:t>
            </w:r>
            <w:proofErr w:type="gramEnd"/>
            <w:r w:rsidR="00C550B2" w:rsidRPr="0039577F">
              <w:rPr>
                <w:rFonts w:ascii="Open Sans" w:hAnsi="Open Sans" w:cs="Open Sans"/>
                <w:sz w:val="20"/>
                <w:szCs w:val="20"/>
                <w:lang w:val="en-US"/>
              </w:rPr>
              <w:t xml:space="preserve"> financial statements to show the impact of the financial activities in the period on each type of fund. </w:t>
            </w:r>
          </w:p>
        </w:tc>
      </w:tr>
    </w:tbl>
    <w:p w14:paraId="410BCA06" w14:textId="7D12AD5E" w:rsidR="00C77881" w:rsidRPr="0039577F" w:rsidRDefault="00C77881" w:rsidP="00AC16B1">
      <w:pPr>
        <w:spacing w:before="120" w:after="120"/>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39577F" w14:paraId="011CBF0F" w14:textId="77777777" w:rsidTr="000D0FFB">
        <w:tc>
          <w:tcPr>
            <w:tcW w:w="4388" w:type="dxa"/>
          </w:tcPr>
          <w:p w14:paraId="31C7220B" w14:textId="231B72AE" w:rsidR="000C07D4" w:rsidRPr="0039577F" w:rsidRDefault="000C07D4" w:rsidP="00AC16B1">
            <w:pPr>
              <w:spacing w:before="120" w:after="120"/>
              <w:jc w:val="both"/>
              <w:rPr>
                <w:rFonts w:ascii="Open Sans" w:hAnsi="Open Sans" w:cs="Open Sans"/>
                <w:b/>
                <w:bCs/>
                <w:sz w:val="20"/>
                <w:szCs w:val="20"/>
                <w:lang w:val="en-US"/>
              </w:rPr>
            </w:pPr>
            <w:r w:rsidRPr="0039577F">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39577F" w:rsidRDefault="00463CE5" w:rsidP="00AC16B1">
            <w:pPr>
              <w:pStyle w:val="TableParagraph"/>
              <w:spacing w:before="120" w:after="120" w:line="254" w:lineRule="auto"/>
              <w:ind w:left="0" w:right="206"/>
              <w:rPr>
                <w:rFonts w:ascii="Open Sans" w:hAnsi="Open Sans" w:cs="Open Sans"/>
                <w:b/>
                <w:bCs/>
                <w:sz w:val="20"/>
                <w:szCs w:val="20"/>
              </w:rPr>
            </w:pPr>
            <w:r w:rsidRPr="0039577F">
              <w:rPr>
                <w:rFonts w:ascii="Open Sans" w:hAnsi="Open Sans" w:cs="Open Sans"/>
                <w:sz w:val="20"/>
                <w:szCs w:val="20"/>
              </w:rPr>
              <w:t xml:space="preserve">This Section </w:t>
            </w:r>
            <w:r w:rsidR="00AC4F2A" w:rsidRPr="0039577F">
              <w:rPr>
                <w:rFonts w:ascii="Open Sans" w:hAnsi="Open Sans" w:cs="Open Sans"/>
                <w:sz w:val="20"/>
                <w:szCs w:val="20"/>
              </w:rPr>
              <w:t>includes</w:t>
            </w:r>
            <w:r w:rsidRPr="0039577F">
              <w:rPr>
                <w:rFonts w:ascii="Open Sans" w:hAnsi="Open Sans" w:cs="Open Sans"/>
                <w:sz w:val="20"/>
                <w:szCs w:val="20"/>
              </w:rPr>
              <w:t xml:space="preserve"> disclosures to highlight NPO specific transactions, such as revenue to fund the purchase of property, </w:t>
            </w:r>
            <w:proofErr w:type="gramStart"/>
            <w:r w:rsidRPr="0039577F">
              <w:rPr>
                <w:rFonts w:ascii="Open Sans" w:hAnsi="Open Sans" w:cs="Open Sans"/>
                <w:sz w:val="20"/>
                <w:szCs w:val="20"/>
              </w:rPr>
              <w:t>plant</w:t>
            </w:r>
            <w:proofErr w:type="gramEnd"/>
            <w:r w:rsidRPr="0039577F">
              <w:rPr>
                <w:rFonts w:ascii="Open Sans" w:hAnsi="Open Sans" w:cs="Open Sans"/>
                <w:sz w:val="20"/>
                <w:szCs w:val="20"/>
              </w:rPr>
              <w:t xml:space="preserve"> and equipment.</w:t>
            </w:r>
            <w:r w:rsidR="00AC4F2A" w:rsidRPr="0039577F">
              <w:rPr>
                <w:rFonts w:ascii="Open Sans" w:hAnsi="Open Sans" w:cs="Open Sans"/>
                <w:sz w:val="20"/>
                <w:szCs w:val="20"/>
              </w:rPr>
              <w:t xml:space="preserve"> </w:t>
            </w:r>
            <w:r w:rsidRPr="0039577F">
              <w:rPr>
                <w:rFonts w:ascii="Open Sans" w:hAnsi="Open Sans" w:cs="Open Sans"/>
                <w:sz w:val="20"/>
                <w:szCs w:val="20"/>
              </w:rPr>
              <w:t>There</w:t>
            </w:r>
            <w:r w:rsidRPr="0039577F">
              <w:rPr>
                <w:rFonts w:ascii="Open Sans" w:hAnsi="Open Sans" w:cs="Open Sans"/>
                <w:spacing w:val="-7"/>
                <w:sz w:val="20"/>
                <w:szCs w:val="20"/>
              </w:rPr>
              <w:t xml:space="preserve"> </w:t>
            </w:r>
            <w:r w:rsidRPr="0039577F">
              <w:rPr>
                <w:rFonts w:ascii="Open Sans" w:hAnsi="Open Sans" w:cs="Open Sans"/>
                <w:sz w:val="20"/>
                <w:szCs w:val="20"/>
              </w:rPr>
              <w:t>are</w:t>
            </w:r>
            <w:r w:rsidRPr="0039577F">
              <w:rPr>
                <w:rFonts w:ascii="Open Sans" w:hAnsi="Open Sans" w:cs="Open Sans"/>
                <w:spacing w:val="-7"/>
                <w:sz w:val="20"/>
                <w:szCs w:val="20"/>
              </w:rPr>
              <w:t xml:space="preserve"> </w:t>
            </w:r>
            <w:r w:rsidRPr="0039577F">
              <w:rPr>
                <w:rFonts w:ascii="Open Sans" w:hAnsi="Open Sans" w:cs="Open Sans"/>
                <w:sz w:val="20"/>
                <w:szCs w:val="20"/>
              </w:rPr>
              <w:t>no</w:t>
            </w:r>
            <w:r w:rsidRPr="0039577F">
              <w:rPr>
                <w:rFonts w:ascii="Open Sans" w:hAnsi="Open Sans" w:cs="Open Sans"/>
                <w:spacing w:val="-5"/>
                <w:sz w:val="20"/>
                <w:szCs w:val="20"/>
              </w:rPr>
              <w:t xml:space="preserve"> </w:t>
            </w:r>
            <w:r w:rsidRPr="0039577F">
              <w:rPr>
                <w:rFonts w:ascii="Open Sans" w:hAnsi="Open Sans" w:cs="Open Sans"/>
                <w:sz w:val="20"/>
                <w:szCs w:val="20"/>
              </w:rPr>
              <w:t>changes</w:t>
            </w:r>
            <w:r w:rsidRPr="0039577F">
              <w:rPr>
                <w:rFonts w:ascii="Open Sans" w:hAnsi="Open Sans" w:cs="Open Sans"/>
                <w:spacing w:val="-6"/>
                <w:sz w:val="20"/>
                <w:szCs w:val="20"/>
              </w:rPr>
              <w:t xml:space="preserve"> </w:t>
            </w:r>
            <w:r w:rsidRPr="0039577F">
              <w:rPr>
                <w:rFonts w:ascii="Open Sans" w:hAnsi="Open Sans" w:cs="Open Sans"/>
                <w:sz w:val="20"/>
                <w:szCs w:val="20"/>
              </w:rPr>
              <w:t>to</w:t>
            </w:r>
            <w:r w:rsidRPr="0039577F">
              <w:rPr>
                <w:rFonts w:ascii="Open Sans" w:hAnsi="Open Sans" w:cs="Open Sans"/>
                <w:spacing w:val="-5"/>
                <w:sz w:val="20"/>
                <w:szCs w:val="20"/>
              </w:rPr>
              <w:t xml:space="preserve"> </w:t>
            </w:r>
            <w:r w:rsidRPr="0039577F">
              <w:rPr>
                <w:rFonts w:ascii="Open Sans" w:hAnsi="Open Sans" w:cs="Open Sans"/>
                <w:sz w:val="20"/>
                <w:szCs w:val="20"/>
              </w:rPr>
              <w:t>the</w:t>
            </w:r>
            <w:r w:rsidRPr="0039577F">
              <w:rPr>
                <w:rFonts w:ascii="Open Sans" w:hAnsi="Open Sans" w:cs="Open Sans"/>
                <w:spacing w:val="-7"/>
                <w:sz w:val="20"/>
                <w:szCs w:val="20"/>
              </w:rPr>
              <w:t xml:space="preserve"> </w:t>
            </w:r>
            <w:r w:rsidRPr="0039577F">
              <w:rPr>
                <w:rFonts w:ascii="Open Sans" w:hAnsi="Open Sans" w:cs="Open Sans"/>
                <w:sz w:val="20"/>
                <w:szCs w:val="20"/>
              </w:rPr>
              <w:t>fundamentals</w:t>
            </w:r>
            <w:r w:rsidRPr="0039577F">
              <w:rPr>
                <w:rFonts w:ascii="Open Sans" w:hAnsi="Open Sans" w:cs="Open Sans"/>
                <w:spacing w:val="-6"/>
                <w:sz w:val="20"/>
                <w:szCs w:val="20"/>
              </w:rPr>
              <w:t xml:space="preserve"> </w:t>
            </w:r>
            <w:r w:rsidRPr="0039577F">
              <w:rPr>
                <w:rFonts w:ascii="Open Sans" w:hAnsi="Open Sans" w:cs="Open Sans"/>
                <w:sz w:val="20"/>
                <w:szCs w:val="20"/>
              </w:rPr>
              <w:t>of</w:t>
            </w:r>
            <w:r w:rsidRPr="0039577F">
              <w:rPr>
                <w:rFonts w:ascii="Open Sans" w:hAnsi="Open Sans" w:cs="Open Sans"/>
                <w:spacing w:val="-7"/>
                <w:sz w:val="20"/>
                <w:szCs w:val="20"/>
              </w:rPr>
              <w:t xml:space="preserve"> </w:t>
            </w:r>
            <w:r w:rsidRPr="0039577F">
              <w:rPr>
                <w:rFonts w:ascii="Open Sans" w:hAnsi="Open Sans" w:cs="Open Sans"/>
                <w:sz w:val="20"/>
                <w:szCs w:val="20"/>
              </w:rPr>
              <w:t>the</w:t>
            </w:r>
            <w:r w:rsidRPr="0039577F">
              <w:rPr>
                <w:rFonts w:ascii="Open Sans" w:hAnsi="Open Sans" w:cs="Open Sans"/>
                <w:spacing w:val="-7"/>
                <w:sz w:val="20"/>
                <w:szCs w:val="20"/>
              </w:rPr>
              <w:t xml:space="preserve"> </w:t>
            </w:r>
            <w:r w:rsidRPr="0039577F">
              <w:rPr>
                <w:rFonts w:ascii="Open Sans" w:hAnsi="Open Sans" w:cs="Open Sans"/>
                <w:sz w:val="20"/>
                <w:szCs w:val="20"/>
              </w:rPr>
              <w:t>cash</w:t>
            </w:r>
            <w:r w:rsidRPr="0039577F">
              <w:rPr>
                <w:rFonts w:ascii="Open Sans" w:hAnsi="Open Sans" w:cs="Open Sans"/>
                <w:spacing w:val="-6"/>
                <w:sz w:val="20"/>
                <w:szCs w:val="20"/>
              </w:rPr>
              <w:t xml:space="preserve"> </w:t>
            </w:r>
            <w:r w:rsidRPr="0039577F">
              <w:rPr>
                <w:rFonts w:ascii="Open Sans" w:hAnsi="Open Sans" w:cs="Open Sans"/>
                <w:sz w:val="20"/>
                <w:szCs w:val="20"/>
              </w:rPr>
              <w:t>flow</w:t>
            </w:r>
            <w:r w:rsidRPr="0039577F">
              <w:rPr>
                <w:rFonts w:ascii="Open Sans" w:hAnsi="Open Sans" w:cs="Open Sans"/>
                <w:spacing w:val="-5"/>
                <w:sz w:val="20"/>
                <w:szCs w:val="20"/>
              </w:rPr>
              <w:t xml:space="preserve"> </w:t>
            </w:r>
            <w:r w:rsidRPr="0039577F">
              <w:rPr>
                <w:rFonts w:ascii="Open Sans" w:hAnsi="Open Sans" w:cs="Open Sans"/>
                <w:sz w:val="20"/>
                <w:szCs w:val="20"/>
              </w:rPr>
              <w:t>from</w:t>
            </w:r>
            <w:r w:rsidRPr="0039577F">
              <w:rPr>
                <w:rFonts w:ascii="Open Sans" w:hAnsi="Open Sans" w:cs="Open Sans"/>
                <w:spacing w:val="-5"/>
                <w:sz w:val="20"/>
                <w:szCs w:val="20"/>
              </w:rPr>
              <w:t xml:space="preserve"> </w:t>
            </w:r>
            <w:r w:rsidRPr="0039577F">
              <w:rPr>
                <w:rFonts w:ascii="Open Sans" w:hAnsi="Open Sans" w:cs="Open Sans"/>
                <w:sz w:val="20"/>
                <w:szCs w:val="20"/>
              </w:rPr>
              <w:t>the</w:t>
            </w:r>
            <w:r w:rsidRPr="0039577F">
              <w:rPr>
                <w:rFonts w:ascii="Open Sans" w:hAnsi="Open Sans" w:cs="Open Sans"/>
                <w:spacing w:val="-8"/>
                <w:sz w:val="20"/>
                <w:szCs w:val="20"/>
              </w:rPr>
              <w:t xml:space="preserve"> </w:t>
            </w:r>
            <w:r w:rsidRPr="0039577F">
              <w:rPr>
                <w:rFonts w:ascii="Open Sans" w:hAnsi="Open Sans" w:cs="Open Sans"/>
                <w:i/>
                <w:sz w:val="20"/>
                <w:szCs w:val="20"/>
              </w:rPr>
              <w:t>IFRS</w:t>
            </w:r>
            <w:r w:rsidRPr="0039577F">
              <w:rPr>
                <w:rFonts w:ascii="Open Sans" w:hAnsi="Open Sans" w:cs="Open Sans"/>
                <w:i/>
                <w:spacing w:val="-6"/>
                <w:sz w:val="20"/>
                <w:szCs w:val="20"/>
              </w:rPr>
              <w:t xml:space="preserve"> </w:t>
            </w:r>
            <w:r w:rsidRPr="0039577F">
              <w:rPr>
                <w:rFonts w:ascii="Open Sans" w:hAnsi="Open Sans" w:cs="Open Sans"/>
                <w:i/>
                <w:sz w:val="20"/>
                <w:szCs w:val="20"/>
              </w:rPr>
              <w:t>for</w:t>
            </w:r>
            <w:r w:rsidRPr="0039577F">
              <w:rPr>
                <w:rFonts w:ascii="Open Sans" w:hAnsi="Open Sans" w:cs="Open Sans"/>
                <w:i/>
                <w:spacing w:val="-7"/>
                <w:sz w:val="20"/>
                <w:szCs w:val="20"/>
              </w:rPr>
              <w:t xml:space="preserve"> </w:t>
            </w:r>
            <w:r w:rsidRPr="0039577F">
              <w:rPr>
                <w:rFonts w:ascii="Open Sans" w:hAnsi="Open Sans" w:cs="Open Sans"/>
                <w:i/>
                <w:sz w:val="20"/>
                <w:szCs w:val="20"/>
              </w:rPr>
              <w:t>SMEs</w:t>
            </w:r>
            <w:r w:rsidRPr="0039577F">
              <w:rPr>
                <w:rFonts w:ascii="Open Sans" w:hAnsi="Open Sans" w:cs="Open Sans"/>
                <w:i/>
                <w:spacing w:val="-5"/>
                <w:sz w:val="20"/>
                <w:szCs w:val="20"/>
              </w:rPr>
              <w:t xml:space="preserve"> </w:t>
            </w:r>
            <w:r w:rsidRPr="0039577F">
              <w:rPr>
                <w:rFonts w:ascii="Open Sans" w:hAnsi="Open Sans" w:cs="Open Sans"/>
                <w:sz w:val="20"/>
                <w:szCs w:val="20"/>
              </w:rPr>
              <w:t>Accounting</w:t>
            </w:r>
            <w:r w:rsidRPr="0039577F">
              <w:rPr>
                <w:rFonts w:ascii="Open Sans" w:hAnsi="Open Sans" w:cs="Open Sans"/>
                <w:spacing w:val="-6"/>
                <w:sz w:val="20"/>
                <w:szCs w:val="20"/>
              </w:rPr>
              <w:t xml:space="preserve"> </w:t>
            </w:r>
            <w:r w:rsidRPr="0039577F">
              <w:rPr>
                <w:rFonts w:ascii="Open Sans" w:hAnsi="Open Sans" w:cs="Open Sans"/>
                <w:sz w:val="20"/>
                <w:szCs w:val="20"/>
              </w:rPr>
              <w:t>Standard,</w:t>
            </w:r>
            <w:r w:rsidRPr="0039577F">
              <w:rPr>
                <w:rFonts w:ascii="Open Sans" w:hAnsi="Open Sans" w:cs="Open Sans"/>
                <w:spacing w:val="-6"/>
                <w:sz w:val="20"/>
                <w:szCs w:val="20"/>
              </w:rPr>
              <w:t xml:space="preserve"> </w:t>
            </w:r>
            <w:r w:rsidRPr="0039577F">
              <w:rPr>
                <w:rFonts w:ascii="Open Sans" w:hAnsi="Open Sans" w:cs="Open Sans"/>
                <w:sz w:val="20"/>
                <w:szCs w:val="20"/>
              </w:rPr>
              <w:t>with both</w:t>
            </w:r>
            <w:r w:rsidRPr="0039577F">
              <w:rPr>
                <w:rFonts w:ascii="Open Sans" w:hAnsi="Open Sans" w:cs="Open Sans"/>
                <w:spacing w:val="28"/>
                <w:sz w:val="20"/>
                <w:szCs w:val="20"/>
              </w:rPr>
              <w:t xml:space="preserve"> </w:t>
            </w:r>
            <w:r w:rsidRPr="0039577F">
              <w:rPr>
                <w:rFonts w:ascii="Open Sans" w:hAnsi="Open Sans" w:cs="Open Sans"/>
                <w:sz w:val="20"/>
                <w:szCs w:val="20"/>
              </w:rPr>
              <w:t>the direct and indirect methods</w:t>
            </w:r>
            <w:r w:rsidRPr="0039577F">
              <w:rPr>
                <w:rFonts w:ascii="Open Sans" w:hAnsi="Open Sans" w:cs="Open Sans"/>
                <w:spacing w:val="28"/>
                <w:sz w:val="20"/>
                <w:szCs w:val="20"/>
              </w:rPr>
              <w:t xml:space="preserve"> </w:t>
            </w:r>
            <w:r w:rsidRPr="0039577F">
              <w:rPr>
                <w:rFonts w:ascii="Open Sans" w:hAnsi="Open Sans" w:cs="Open Sans"/>
                <w:sz w:val="20"/>
                <w:szCs w:val="20"/>
              </w:rPr>
              <w:t>of producing</w:t>
            </w:r>
            <w:r w:rsidRPr="0039577F">
              <w:rPr>
                <w:rFonts w:ascii="Open Sans" w:hAnsi="Open Sans" w:cs="Open Sans"/>
                <w:spacing w:val="28"/>
                <w:sz w:val="20"/>
                <w:szCs w:val="20"/>
              </w:rPr>
              <w:t xml:space="preserve"> </w:t>
            </w:r>
            <w:r w:rsidRPr="0039577F">
              <w:rPr>
                <w:rFonts w:ascii="Open Sans" w:hAnsi="Open Sans" w:cs="Open Sans"/>
                <w:sz w:val="20"/>
                <w:szCs w:val="20"/>
              </w:rPr>
              <w:t>a</w:t>
            </w:r>
            <w:r w:rsidRPr="0039577F">
              <w:rPr>
                <w:rFonts w:ascii="Open Sans" w:hAnsi="Open Sans" w:cs="Open Sans"/>
                <w:spacing w:val="30"/>
                <w:sz w:val="20"/>
                <w:szCs w:val="20"/>
              </w:rPr>
              <w:t xml:space="preserve"> </w:t>
            </w:r>
            <w:r w:rsidRPr="0039577F">
              <w:rPr>
                <w:rFonts w:ascii="Open Sans" w:hAnsi="Open Sans" w:cs="Open Sans"/>
                <w:sz w:val="20"/>
                <w:szCs w:val="20"/>
              </w:rPr>
              <w:t>Statement of cash</w:t>
            </w:r>
            <w:r w:rsidRPr="0039577F">
              <w:rPr>
                <w:rFonts w:ascii="Open Sans" w:hAnsi="Open Sans" w:cs="Open Sans"/>
                <w:spacing w:val="28"/>
                <w:sz w:val="20"/>
                <w:szCs w:val="20"/>
              </w:rPr>
              <w:t xml:space="preserve"> </w:t>
            </w:r>
            <w:r w:rsidRPr="0039577F">
              <w:rPr>
                <w:rFonts w:ascii="Open Sans" w:hAnsi="Open Sans" w:cs="Open Sans"/>
                <w:sz w:val="20"/>
                <w:szCs w:val="20"/>
              </w:rPr>
              <w:t>flows</w:t>
            </w:r>
            <w:r w:rsidRPr="0039577F">
              <w:rPr>
                <w:rFonts w:ascii="Open Sans" w:hAnsi="Open Sans" w:cs="Open Sans"/>
                <w:spacing w:val="28"/>
                <w:sz w:val="20"/>
                <w:szCs w:val="20"/>
              </w:rPr>
              <w:t xml:space="preserve"> </w:t>
            </w:r>
            <w:r w:rsidRPr="0039577F">
              <w:rPr>
                <w:rFonts w:ascii="Open Sans" w:hAnsi="Open Sans" w:cs="Open Sans"/>
                <w:sz w:val="20"/>
                <w:szCs w:val="20"/>
              </w:rPr>
              <w:t>permitted.</w:t>
            </w:r>
          </w:p>
        </w:tc>
      </w:tr>
      <w:tr w:rsidR="000C07D4" w:rsidRPr="0039577F" w14:paraId="27A80C9B" w14:textId="77777777" w:rsidTr="00A276B0">
        <w:tc>
          <w:tcPr>
            <w:tcW w:w="4388" w:type="dxa"/>
          </w:tcPr>
          <w:p w14:paraId="0A77F90D" w14:textId="77777777" w:rsidR="000C07D4" w:rsidRPr="0039577F" w:rsidRDefault="000C07D4" w:rsidP="00AC16B1">
            <w:pPr>
              <w:spacing w:before="120" w:after="120"/>
              <w:jc w:val="both"/>
              <w:rPr>
                <w:rFonts w:ascii="Open Sans" w:hAnsi="Open Sans" w:cs="Open Sans"/>
                <w:b/>
                <w:bCs/>
                <w:sz w:val="20"/>
                <w:szCs w:val="20"/>
                <w:lang w:val="en-US"/>
              </w:rPr>
            </w:pPr>
          </w:p>
        </w:tc>
        <w:tc>
          <w:tcPr>
            <w:tcW w:w="1642" w:type="dxa"/>
          </w:tcPr>
          <w:p w14:paraId="379A174E" w14:textId="112C5D7C" w:rsidR="000C07D4" w:rsidRPr="0039577F" w:rsidRDefault="000C07D4"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References</w:t>
            </w:r>
          </w:p>
        </w:tc>
        <w:tc>
          <w:tcPr>
            <w:tcW w:w="8282" w:type="dxa"/>
          </w:tcPr>
          <w:p w14:paraId="2D7CCBED" w14:textId="6E0B133E" w:rsidR="000C07D4" w:rsidRPr="0039577F" w:rsidRDefault="000C07D4" w:rsidP="00AC16B1">
            <w:pPr>
              <w:spacing w:before="120" w:after="120"/>
              <w:rPr>
                <w:rFonts w:ascii="Open Sans" w:hAnsi="Open Sans" w:cs="Open Sans"/>
                <w:b/>
                <w:bCs/>
                <w:sz w:val="20"/>
                <w:szCs w:val="20"/>
                <w:lang w:val="en-US"/>
              </w:rPr>
            </w:pPr>
            <w:r w:rsidRPr="0039577F">
              <w:rPr>
                <w:rFonts w:ascii="Open Sans" w:hAnsi="Open Sans" w:cs="Open Sans"/>
                <w:b/>
                <w:bCs/>
                <w:sz w:val="20"/>
                <w:szCs w:val="20"/>
                <w:lang w:val="en-US"/>
              </w:rPr>
              <w:t>Responses</w:t>
            </w:r>
          </w:p>
        </w:tc>
      </w:tr>
      <w:tr w:rsidR="000C07D4" w:rsidRPr="0039577F" w14:paraId="0E559181" w14:textId="77777777" w:rsidTr="00A276B0">
        <w:tc>
          <w:tcPr>
            <w:tcW w:w="4388" w:type="dxa"/>
          </w:tcPr>
          <w:p w14:paraId="6B68FA35" w14:textId="6C76E618" w:rsidR="000C07D4" w:rsidRPr="0039577F" w:rsidRDefault="000C07D4" w:rsidP="00AC16B1">
            <w:pPr>
              <w:numPr>
                <w:ilvl w:val="0"/>
                <w:numId w:val="7"/>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Do you agree with the separate presentation of cash donations and grants on the face of the statement? If not, what alternative approach would you propose and why?</w:t>
            </w:r>
          </w:p>
        </w:tc>
        <w:tc>
          <w:tcPr>
            <w:tcW w:w="1642" w:type="dxa"/>
          </w:tcPr>
          <w:p w14:paraId="2F5C10CB" w14:textId="77777777" w:rsidR="000C07D4" w:rsidRPr="0039577F" w:rsidRDefault="000C07D4"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G7.4 a)</w:t>
            </w:r>
          </w:p>
          <w:p w14:paraId="3553A76F" w14:textId="77777777" w:rsidR="000C07D4" w:rsidRPr="0039577F" w:rsidRDefault="000C07D4" w:rsidP="00AC16B1">
            <w:pPr>
              <w:spacing w:before="120" w:after="120"/>
              <w:rPr>
                <w:rFonts w:ascii="Open Sans" w:hAnsi="Open Sans" w:cs="Open Sans"/>
                <w:b/>
                <w:bCs/>
                <w:sz w:val="20"/>
                <w:szCs w:val="20"/>
                <w:lang w:val="en-US"/>
              </w:rPr>
            </w:pPr>
          </w:p>
        </w:tc>
        <w:tc>
          <w:tcPr>
            <w:tcW w:w="8282" w:type="dxa"/>
          </w:tcPr>
          <w:p w14:paraId="654B219E" w14:textId="02CFA134" w:rsidR="000C07D4" w:rsidRPr="0039577F" w:rsidRDefault="002C397F"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Yes</w:t>
            </w:r>
            <w:r w:rsidR="00C550B2" w:rsidRPr="0039577F">
              <w:rPr>
                <w:rFonts w:ascii="Open Sans" w:hAnsi="Open Sans" w:cs="Open Sans"/>
                <w:sz w:val="20"/>
                <w:szCs w:val="20"/>
                <w:lang w:val="en-US"/>
              </w:rPr>
              <w:t xml:space="preserve">, we agree with this proposal. </w:t>
            </w:r>
          </w:p>
        </w:tc>
      </w:tr>
      <w:tr w:rsidR="000C07D4" w:rsidRPr="0039577F" w14:paraId="341968CD" w14:textId="77777777" w:rsidTr="00A276B0">
        <w:tc>
          <w:tcPr>
            <w:tcW w:w="4388" w:type="dxa"/>
          </w:tcPr>
          <w:p w14:paraId="2FAEB7D0" w14:textId="58EEA4C9" w:rsidR="000C07D4" w:rsidRPr="0039577F" w:rsidRDefault="000C07D4" w:rsidP="00AC16B1">
            <w:pPr>
              <w:numPr>
                <w:ilvl w:val="0"/>
                <w:numId w:val="7"/>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39577F" w:rsidRDefault="000C07D4"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G7.5 b)</w:t>
            </w:r>
          </w:p>
          <w:p w14:paraId="5CCE6FEA" w14:textId="77777777" w:rsidR="000C07D4" w:rsidRPr="0039577F" w:rsidRDefault="000C07D4" w:rsidP="00AC16B1">
            <w:pPr>
              <w:spacing w:before="120" w:after="120"/>
              <w:rPr>
                <w:rFonts w:ascii="Open Sans" w:hAnsi="Open Sans" w:cs="Open Sans"/>
                <w:b/>
                <w:bCs/>
                <w:sz w:val="20"/>
                <w:szCs w:val="20"/>
                <w:lang w:val="en-US"/>
              </w:rPr>
            </w:pPr>
          </w:p>
        </w:tc>
        <w:tc>
          <w:tcPr>
            <w:tcW w:w="8282" w:type="dxa"/>
          </w:tcPr>
          <w:p w14:paraId="0E5EC997" w14:textId="51362A40" w:rsidR="00C550B2" w:rsidRPr="0039577F" w:rsidRDefault="00C550B2"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We disagree on the basis that we do not believe </w:t>
            </w:r>
            <w:r w:rsidR="00144390">
              <w:rPr>
                <w:rFonts w:ascii="Open Sans" w:hAnsi="Open Sans" w:cs="Open Sans"/>
                <w:sz w:val="20"/>
                <w:szCs w:val="20"/>
                <w:lang w:val="en-US"/>
              </w:rPr>
              <w:t>their receipt</w:t>
            </w:r>
            <w:r w:rsidR="00144390" w:rsidRPr="0039577F">
              <w:rPr>
                <w:rFonts w:ascii="Open Sans" w:hAnsi="Open Sans" w:cs="Open Sans"/>
                <w:sz w:val="20"/>
                <w:szCs w:val="20"/>
                <w:lang w:val="en-US"/>
              </w:rPr>
              <w:t xml:space="preserve"> </w:t>
            </w:r>
            <w:r w:rsidRPr="0039577F">
              <w:rPr>
                <w:rFonts w:ascii="Open Sans" w:hAnsi="Open Sans" w:cs="Open Sans"/>
                <w:sz w:val="20"/>
                <w:szCs w:val="20"/>
                <w:lang w:val="en-US"/>
              </w:rPr>
              <w:t xml:space="preserve">meets the definition of </w:t>
            </w:r>
            <w:r w:rsidR="00144390">
              <w:rPr>
                <w:rFonts w:ascii="Open Sans" w:hAnsi="Open Sans" w:cs="Open Sans"/>
                <w:sz w:val="20"/>
                <w:szCs w:val="20"/>
                <w:lang w:val="en-US"/>
              </w:rPr>
              <w:t xml:space="preserve">a cash flow from </w:t>
            </w:r>
            <w:r w:rsidRPr="0039577F">
              <w:rPr>
                <w:rFonts w:ascii="Open Sans" w:hAnsi="Open Sans" w:cs="Open Sans"/>
                <w:sz w:val="20"/>
                <w:szCs w:val="20"/>
                <w:lang w:val="en-US"/>
              </w:rPr>
              <w:t xml:space="preserve">investing activities. The definition of investing activities is the acquisition and disposal of long-term assets and other investments, not included in cash equivalents. </w:t>
            </w:r>
          </w:p>
          <w:p w14:paraId="76A85D8A" w14:textId="3ACCA033" w:rsidR="000C07D4" w:rsidRPr="0039577F" w:rsidRDefault="00C550B2" w:rsidP="00C550B2">
            <w:pPr>
              <w:spacing w:before="120" w:after="120"/>
              <w:rPr>
                <w:rFonts w:ascii="Open Sans" w:hAnsi="Open Sans" w:cs="Open Sans"/>
                <w:sz w:val="20"/>
                <w:szCs w:val="20"/>
                <w:lang w:val="en-US"/>
              </w:rPr>
            </w:pPr>
            <w:r w:rsidRPr="0039577F">
              <w:rPr>
                <w:rFonts w:ascii="Open Sans" w:hAnsi="Open Sans" w:cs="Open Sans"/>
                <w:sz w:val="20"/>
                <w:szCs w:val="20"/>
                <w:lang w:val="en-US"/>
              </w:rPr>
              <w:t>In the same way that the receipt from a loan specifically drawn</w:t>
            </w:r>
            <w:r w:rsidR="00DE58F6">
              <w:rPr>
                <w:rFonts w:ascii="Open Sans" w:hAnsi="Open Sans" w:cs="Open Sans"/>
                <w:sz w:val="20"/>
                <w:szCs w:val="20"/>
                <w:lang w:val="en-US"/>
              </w:rPr>
              <w:t xml:space="preserve"> </w:t>
            </w:r>
            <w:r w:rsidRPr="0039577F">
              <w:rPr>
                <w:rFonts w:ascii="Open Sans" w:hAnsi="Open Sans" w:cs="Open Sans"/>
                <w:sz w:val="20"/>
                <w:szCs w:val="20"/>
                <w:lang w:val="en-US"/>
              </w:rPr>
              <w:t>down to fund an asset purchase, we do not believe that the receipt of a donation</w:t>
            </w:r>
            <w:r w:rsidR="00DE58F6">
              <w:rPr>
                <w:rFonts w:ascii="Open Sans" w:hAnsi="Open Sans" w:cs="Open Sans"/>
                <w:sz w:val="20"/>
                <w:szCs w:val="20"/>
                <w:lang w:val="en-US"/>
              </w:rPr>
              <w:t xml:space="preserve"> which is then used</w:t>
            </w:r>
            <w:r w:rsidRPr="0039577F">
              <w:rPr>
                <w:rFonts w:ascii="Open Sans" w:hAnsi="Open Sans" w:cs="Open Sans"/>
                <w:sz w:val="20"/>
                <w:szCs w:val="20"/>
                <w:lang w:val="en-US"/>
              </w:rPr>
              <w:t xml:space="preserve"> to fund an asset purchase meets this definition. However, if donations were received specifically to fund an asset, this could be shown separately within operating activities to aid the user’s understanding of the cashflows of the NPO.</w:t>
            </w:r>
            <w:r w:rsidR="002C397F" w:rsidRPr="0039577F">
              <w:rPr>
                <w:rFonts w:ascii="Open Sans" w:hAnsi="Open Sans" w:cs="Open Sans"/>
                <w:sz w:val="20"/>
                <w:szCs w:val="20"/>
                <w:lang w:val="en-US"/>
              </w:rPr>
              <w:t xml:space="preserve"> </w:t>
            </w:r>
          </w:p>
        </w:tc>
      </w:tr>
      <w:tr w:rsidR="000C07D4" w:rsidRPr="00EB6705" w14:paraId="1AF97E2F" w14:textId="4F7015C8" w:rsidTr="00A276B0">
        <w:tc>
          <w:tcPr>
            <w:tcW w:w="4388" w:type="dxa"/>
          </w:tcPr>
          <w:p w14:paraId="132203D3" w14:textId="5C6D782E" w:rsidR="000C07D4" w:rsidRPr="0039577F" w:rsidRDefault="000C07D4" w:rsidP="00AC16B1">
            <w:pPr>
              <w:numPr>
                <w:ilvl w:val="0"/>
                <w:numId w:val="7"/>
              </w:numPr>
              <w:spacing w:before="120" w:after="120"/>
              <w:ind w:left="318"/>
              <w:jc w:val="both"/>
              <w:rPr>
                <w:rFonts w:ascii="Open Sans" w:hAnsi="Open Sans" w:cs="Open Sans"/>
                <w:sz w:val="20"/>
                <w:szCs w:val="20"/>
                <w:lang w:val="en-US"/>
              </w:rPr>
            </w:pPr>
            <w:r w:rsidRPr="0039577F">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39577F" w:rsidRDefault="000C07D4" w:rsidP="00AC16B1">
            <w:pPr>
              <w:spacing w:before="120" w:after="120"/>
              <w:jc w:val="both"/>
              <w:rPr>
                <w:rFonts w:ascii="Open Sans" w:hAnsi="Open Sans" w:cs="Open Sans"/>
                <w:b/>
                <w:bCs/>
                <w:sz w:val="20"/>
                <w:szCs w:val="20"/>
                <w:lang w:val="en-US"/>
              </w:rPr>
            </w:pPr>
            <w:r w:rsidRPr="0039577F">
              <w:rPr>
                <w:rFonts w:ascii="Open Sans" w:hAnsi="Open Sans" w:cs="Open Sans"/>
                <w:sz w:val="20"/>
                <w:szCs w:val="20"/>
                <w:lang w:val="en-US"/>
              </w:rPr>
              <w:t>G7.7-G7.9</w:t>
            </w:r>
          </w:p>
        </w:tc>
        <w:tc>
          <w:tcPr>
            <w:tcW w:w="8282" w:type="dxa"/>
          </w:tcPr>
          <w:p w14:paraId="1A0085C8" w14:textId="1F4E115E" w:rsidR="000C07D4" w:rsidRPr="0039577F" w:rsidRDefault="00C550B2" w:rsidP="00AC16B1">
            <w:pPr>
              <w:spacing w:before="120" w:after="120"/>
              <w:rPr>
                <w:rFonts w:ascii="Open Sans" w:hAnsi="Open Sans" w:cs="Open Sans"/>
                <w:sz w:val="20"/>
                <w:szCs w:val="20"/>
                <w:lang w:val="en-US"/>
              </w:rPr>
            </w:pPr>
            <w:r w:rsidRPr="0039577F">
              <w:rPr>
                <w:rFonts w:ascii="Open Sans" w:hAnsi="Open Sans" w:cs="Open Sans"/>
                <w:sz w:val="20"/>
                <w:szCs w:val="20"/>
                <w:lang w:val="en-US"/>
              </w:rPr>
              <w:t xml:space="preserve">Yes, in line with IFRS, we believe that both the direct and indirect method should be presented. However, we acknowledge that there is a preference towards the indirect method in practice. </w:t>
            </w:r>
          </w:p>
        </w:tc>
      </w:tr>
    </w:tbl>
    <w:p w14:paraId="5EEDAAA5" w14:textId="5091EB61" w:rsidR="00C77881" w:rsidRPr="00EB6705" w:rsidRDefault="00C77881" w:rsidP="00AC16B1">
      <w:pPr>
        <w:spacing w:before="120" w:after="120"/>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AC16B1">
            <w:pPr>
              <w:spacing w:before="120" w:after="120"/>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9: Principles underpinning the notes to the financial statements </w:t>
            </w:r>
          </w:p>
          <w:p w14:paraId="045AFA92" w14:textId="1D038A9B" w:rsidR="00C8003A" w:rsidRPr="00EB6705" w:rsidRDefault="00C8003A" w:rsidP="00AC16B1">
            <w:pPr>
              <w:spacing w:before="120" w:after="120"/>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AC16B1">
            <w:pPr>
              <w:spacing w:before="120" w:after="120"/>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AC16B1">
            <w:pPr>
              <w:spacing w:before="120" w:after="120"/>
              <w:jc w:val="both"/>
              <w:rPr>
                <w:rFonts w:ascii="Open Sans" w:hAnsi="Open Sans" w:cs="Open Sans"/>
                <w:b/>
                <w:bCs/>
                <w:sz w:val="20"/>
                <w:szCs w:val="20"/>
                <w:lang w:val="en-US"/>
              </w:rPr>
            </w:pPr>
          </w:p>
        </w:tc>
        <w:tc>
          <w:tcPr>
            <w:tcW w:w="1642" w:type="dxa"/>
          </w:tcPr>
          <w:p w14:paraId="720BAE4D" w14:textId="0018BFEB" w:rsidR="00C8003A" w:rsidRPr="00EB6705" w:rsidRDefault="00C8003A" w:rsidP="00AC16B1">
            <w:pPr>
              <w:spacing w:before="120" w:after="120"/>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AC16B1">
            <w:pPr>
              <w:spacing w:before="120" w:after="120"/>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AC16B1">
            <w:pPr>
              <w:numPr>
                <w:ilvl w:val="0"/>
                <w:numId w:val="11"/>
              </w:numPr>
              <w:spacing w:before="120" w:after="120"/>
              <w:ind w:left="318"/>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AC16B1">
            <w:pPr>
              <w:spacing w:before="120" w:after="120"/>
              <w:jc w:val="both"/>
              <w:rPr>
                <w:rFonts w:ascii="Open Sans" w:hAnsi="Open Sans" w:cs="Open Sans"/>
                <w:b/>
                <w:bCs/>
                <w:sz w:val="20"/>
                <w:szCs w:val="20"/>
                <w:lang w:val="en-US"/>
              </w:rPr>
            </w:pPr>
          </w:p>
        </w:tc>
        <w:tc>
          <w:tcPr>
            <w:tcW w:w="8282" w:type="dxa"/>
          </w:tcPr>
          <w:p w14:paraId="30E0F4D6" w14:textId="75128026" w:rsidR="00E208DB" w:rsidRPr="00995428" w:rsidRDefault="00E208DB" w:rsidP="00995428">
            <w:pPr>
              <w:spacing w:before="120" w:after="120"/>
              <w:rPr>
                <w:rFonts w:ascii="Open Sans" w:hAnsi="Open Sans" w:cs="Open Sans"/>
                <w:sz w:val="20"/>
                <w:szCs w:val="20"/>
                <w:lang w:val="en-US"/>
              </w:rPr>
            </w:pPr>
            <w:r w:rsidRPr="00995428">
              <w:rPr>
                <w:rFonts w:ascii="Open Sans" w:hAnsi="Open Sans" w:cs="Open Sans"/>
                <w:sz w:val="20"/>
                <w:szCs w:val="20"/>
                <w:lang w:val="en-US"/>
              </w:rPr>
              <w:t>Some increased disclosure requirements from those required for profit orientated entities we feel is necessary for the users of NPO general purpose financial statements includes the following:</w:t>
            </w:r>
          </w:p>
          <w:p w14:paraId="6C11A575" w14:textId="0BC53784" w:rsidR="00E208DB" w:rsidRPr="00995428" w:rsidRDefault="00E208DB" w:rsidP="00995428">
            <w:pPr>
              <w:pStyle w:val="ListParagraph"/>
              <w:numPr>
                <w:ilvl w:val="0"/>
                <w:numId w:val="19"/>
              </w:numPr>
              <w:spacing w:before="120" w:after="120"/>
              <w:contextualSpacing w:val="0"/>
              <w:rPr>
                <w:rFonts w:ascii="Open Sans" w:hAnsi="Open Sans" w:cs="Open Sans"/>
                <w:sz w:val="20"/>
                <w:szCs w:val="20"/>
                <w:lang w:val="en-US"/>
              </w:rPr>
            </w:pPr>
            <w:r w:rsidRPr="00995428">
              <w:rPr>
                <w:rFonts w:ascii="Open Sans" w:hAnsi="Open Sans" w:cs="Open Sans"/>
                <w:sz w:val="20"/>
                <w:szCs w:val="20"/>
                <w:lang w:val="en-US"/>
              </w:rPr>
              <w:t>Trustees</w:t>
            </w:r>
            <w:r w:rsidR="006A1289">
              <w:rPr>
                <w:rFonts w:ascii="Open Sans" w:hAnsi="Open Sans" w:cs="Open Sans"/>
                <w:sz w:val="20"/>
                <w:szCs w:val="20"/>
                <w:lang w:val="en-US"/>
              </w:rPr>
              <w:t>’</w:t>
            </w:r>
            <w:r w:rsidRPr="00995428">
              <w:rPr>
                <w:rFonts w:ascii="Open Sans" w:hAnsi="Open Sans" w:cs="Open Sans"/>
                <w:sz w:val="20"/>
                <w:szCs w:val="20"/>
                <w:lang w:val="en-US"/>
              </w:rPr>
              <w:t xml:space="preserve"> reimbursement and remuneration – </w:t>
            </w:r>
            <w:r w:rsidR="00995428" w:rsidRPr="00995428">
              <w:rPr>
                <w:rFonts w:ascii="Open Sans" w:hAnsi="Open Sans" w:cs="Open Sans"/>
                <w:sz w:val="20"/>
                <w:szCs w:val="20"/>
                <w:lang w:val="en-US"/>
              </w:rPr>
              <w:t xml:space="preserve">this is a sensitive area in the sector, and we feel INPAG should therefore encourage transparency in this area, requiring the disclosure of the value of trustee remuneration and how much they have been reimbursed for costs incurred on behalf of the NPO, as well as other transactions with trustees as allowed under local jurisdictions. </w:t>
            </w:r>
          </w:p>
          <w:p w14:paraId="49825CFC" w14:textId="53BF3489" w:rsidR="002C397F" w:rsidRDefault="00995428" w:rsidP="00995428">
            <w:pPr>
              <w:pStyle w:val="ListParagraph"/>
              <w:numPr>
                <w:ilvl w:val="0"/>
                <w:numId w:val="19"/>
              </w:numPr>
              <w:spacing w:before="120" w:after="120"/>
              <w:contextualSpacing w:val="0"/>
              <w:rPr>
                <w:rFonts w:ascii="Open Sans" w:hAnsi="Open Sans" w:cs="Open Sans"/>
                <w:sz w:val="20"/>
                <w:szCs w:val="20"/>
                <w:lang w:val="en-US"/>
              </w:rPr>
            </w:pPr>
            <w:r w:rsidRPr="00995428">
              <w:rPr>
                <w:rFonts w:ascii="Open Sans" w:hAnsi="Open Sans" w:cs="Open Sans"/>
                <w:sz w:val="20"/>
                <w:szCs w:val="20"/>
                <w:lang w:val="en-US"/>
              </w:rPr>
              <w:t xml:space="preserve">Detailed funds note – we believe that it is important for users of the </w:t>
            </w:r>
            <w:proofErr w:type="gramStart"/>
            <w:r w:rsidRPr="00995428">
              <w:rPr>
                <w:rFonts w:ascii="Open Sans" w:hAnsi="Open Sans" w:cs="Open Sans"/>
                <w:sz w:val="20"/>
                <w:szCs w:val="20"/>
                <w:lang w:val="en-US"/>
              </w:rPr>
              <w:t>general purpose</w:t>
            </w:r>
            <w:proofErr w:type="gramEnd"/>
            <w:r w:rsidRPr="00995428">
              <w:rPr>
                <w:rFonts w:ascii="Open Sans" w:hAnsi="Open Sans" w:cs="Open Sans"/>
                <w:sz w:val="20"/>
                <w:szCs w:val="20"/>
                <w:lang w:val="en-US"/>
              </w:rPr>
              <w:t xml:space="preserve"> financial statements to understand what material restricted funds are held by the NPO, what the restrictions on the spend is and the income and expenditure for that fund. We acknowledge that </w:t>
            </w:r>
            <w:r w:rsidR="00DE58F6">
              <w:rPr>
                <w:rFonts w:ascii="Open Sans" w:hAnsi="Open Sans" w:cs="Open Sans"/>
                <w:sz w:val="20"/>
                <w:szCs w:val="20"/>
                <w:lang w:val="en-US"/>
              </w:rPr>
              <w:t xml:space="preserve">whilst </w:t>
            </w:r>
            <w:r w:rsidRPr="00995428">
              <w:rPr>
                <w:rFonts w:ascii="Open Sans" w:hAnsi="Open Sans" w:cs="Open Sans"/>
                <w:sz w:val="20"/>
                <w:szCs w:val="20"/>
                <w:lang w:val="en-US"/>
              </w:rPr>
              <w:t xml:space="preserve">this information will be required in far more detail by the donors, a user of the </w:t>
            </w:r>
            <w:proofErr w:type="gramStart"/>
            <w:r w:rsidRPr="00995428">
              <w:rPr>
                <w:rFonts w:ascii="Open Sans" w:hAnsi="Open Sans" w:cs="Open Sans"/>
                <w:sz w:val="20"/>
                <w:szCs w:val="20"/>
                <w:lang w:val="en-US"/>
              </w:rPr>
              <w:t>general purpose</w:t>
            </w:r>
            <w:proofErr w:type="gramEnd"/>
            <w:r w:rsidRPr="00995428">
              <w:rPr>
                <w:rFonts w:ascii="Open Sans" w:hAnsi="Open Sans" w:cs="Open Sans"/>
                <w:sz w:val="20"/>
                <w:szCs w:val="20"/>
                <w:lang w:val="en-US"/>
              </w:rPr>
              <w:t xml:space="preserve"> financial statements would benefit from this information in their understanding of the funds held by the NPO and the impact it may have on future activities.</w:t>
            </w:r>
          </w:p>
          <w:p w14:paraId="386A6DBF" w14:textId="67FA8834" w:rsidR="00995428" w:rsidRDefault="00DE58F6" w:rsidP="00995428">
            <w:pPr>
              <w:pStyle w:val="ListParagraph"/>
              <w:numPr>
                <w:ilvl w:val="0"/>
                <w:numId w:val="19"/>
              </w:numPr>
              <w:spacing w:before="120" w:after="120"/>
              <w:contextualSpacing w:val="0"/>
              <w:rPr>
                <w:rFonts w:ascii="Open Sans" w:hAnsi="Open Sans" w:cs="Open Sans"/>
                <w:sz w:val="20"/>
                <w:szCs w:val="20"/>
                <w:lang w:val="en-US"/>
              </w:rPr>
            </w:pPr>
            <w:r>
              <w:rPr>
                <w:rFonts w:ascii="Open Sans" w:hAnsi="Open Sans" w:cs="Open Sans"/>
                <w:sz w:val="20"/>
                <w:szCs w:val="20"/>
                <w:lang w:val="en-US"/>
              </w:rPr>
              <w:t>For</w:t>
            </w:r>
            <w:r w:rsidR="00995428">
              <w:rPr>
                <w:rFonts w:ascii="Open Sans" w:hAnsi="Open Sans" w:cs="Open Sans"/>
                <w:sz w:val="20"/>
                <w:szCs w:val="20"/>
                <w:lang w:val="en-US"/>
              </w:rPr>
              <w:t xml:space="preserve"> NPOs rely</w:t>
            </w:r>
            <w:r>
              <w:rPr>
                <w:rFonts w:ascii="Open Sans" w:hAnsi="Open Sans" w:cs="Open Sans"/>
                <w:sz w:val="20"/>
                <w:szCs w:val="20"/>
                <w:lang w:val="en-US"/>
              </w:rPr>
              <w:t>ing</w:t>
            </w:r>
            <w:r w:rsidR="00995428">
              <w:rPr>
                <w:rFonts w:ascii="Open Sans" w:hAnsi="Open Sans" w:cs="Open Sans"/>
                <w:sz w:val="20"/>
                <w:szCs w:val="20"/>
                <w:lang w:val="en-US"/>
              </w:rPr>
              <w:t xml:space="preserve"> on donations, we believe there is an increased focus by users in how their money is being spent. Therefore, we </w:t>
            </w:r>
            <w:r>
              <w:rPr>
                <w:rFonts w:ascii="Open Sans" w:hAnsi="Open Sans" w:cs="Open Sans"/>
                <w:sz w:val="20"/>
                <w:szCs w:val="20"/>
                <w:lang w:val="en-US"/>
              </w:rPr>
              <w:t xml:space="preserve">consider </w:t>
            </w:r>
            <w:r w:rsidR="00995428">
              <w:rPr>
                <w:rFonts w:ascii="Open Sans" w:hAnsi="Open Sans" w:cs="Open Sans"/>
                <w:sz w:val="20"/>
                <w:szCs w:val="20"/>
                <w:lang w:val="en-US"/>
              </w:rPr>
              <w:t xml:space="preserve">increased </w:t>
            </w:r>
            <w:r w:rsidR="00995428">
              <w:rPr>
                <w:rFonts w:ascii="Open Sans" w:hAnsi="Open Sans" w:cs="Open Sans"/>
                <w:sz w:val="20"/>
                <w:szCs w:val="20"/>
                <w:lang w:val="en-US"/>
              </w:rPr>
              <w:lastRenderedPageBreak/>
              <w:t xml:space="preserve">disclosures on the types of costs incurred by </w:t>
            </w:r>
            <w:r>
              <w:rPr>
                <w:rFonts w:ascii="Open Sans" w:hAnsi="Open Sans" w:cs="Open Sans"/>
                <w:sz w:val="20"/>
                <w:szCs w:val="20"/>
                <w:lang w:val="en-US"/>
              </w:rPr>
              <w:t xml:space="preserve">an NPO </w:t>
            </w:r>
            <w:r w:rsidR="00995428">
              <w:rPr>
                <w:rFonts w:ascii="Open Sans" w:hAnsi="Open Sans" w:cs="Open Sans"/>
                <w:sz w:val="20"/>
                <w:szCs w:val="20"/>
                <w:lang w:val="en-US"/>
              </w:rPr>
              <w:t xml:space="preserve">would aid in the user’s understanding of the </w:t>
            </w:r>
            <w:proofErr w:type="gramStart"/>
            <w:r w:rsidR="00995428">
              <w:rPr>
                <w:rFonts w:ascii="Open Sans" w:hAnsi="Open Sans" w:cs="Open Sans"/>
                <w:sz w:val="20"/>
                <w:szCs w:val="20"/>
                <w:lang w:val="en-US"/>
              </w:rPr>
              <w:t>general purpose</w:t>
            </w:r>
            <w:proofErr w:type="gramEnd"/>
            <w:r w:rsidR="00995428">
              <w:rPr>
                <w:rFonts w:ascii="Open Sans" w:hAnsi="Open Sans" w:cs="Open Sans"/>
                <w:sz w:val="20"/>
                <w:szCs w:val="20"/>
                <w:lang w:val="en-US"/>
              </w:rPr>
              <w:t xml:space="preserve"> financial statements. </w:t>
            </w:r>
          </w:p>
          <w:p w14:paraId="05366A0B" w14:textId="11483100" w:rsidR="00995428" w:rsidRDefault="00995428" w:rsidP="00995428">
            <w:pPr>
              <w:pStyle w:val="ListParagraph"/>
              <w:numPr>
                <w:ilvl w:val="0"/>
                <w:numId w:val="19"/>
              </w:numPr>
              <w:spacing w:before="120" w:after="120"/>
              <w:contextualSpacing w:val="0"/>
              <w:rPr>
                <w:rFonts w:ascii="Open Sans" w:hAnsi="Open Sans" w:cs="Open Sans"/>
                <w:sz w:val="20"/>
                <w:szCs w:val="20"/>
                <w:lang w:val="en-US"/>
              </w:rPr>
            </w:pPr>
            <w:r>
              <w:rPr>
                <w:rFonts w:ascii="Open Sans" w:hAnsi="Open Sans" w:cs="Open Sans"/>
                <w:sz w:val="20"/>
                <w:szCs w:val="20"/>
                <w:lang w:val="en-US"/>
              </w:rPr>
              <w:t xml:space="preserve">Given the tax status of NPOs will differ in each jurisdiction, we believe it is important for the NPO to explain their tax positions and any exemptions from tax that they may have. </w:t>
            </w:r>
          </w:p>
          <w:p w14:paraId="0BA28B9B" w14:textId="653F0E82" w:rsidR="008D5295" w:rsidRDefault="00995428" w:rsidP="00995428">
            <w:pPr>
              <w:pStyle w:val="ListParagraph"/>
              <w:numPr>
                <w:ilvl w:val="0"/>
                <w:numId w:val="19"/>
              </w:numPr>
              <w:spacing w:before="120" w:after="120"/>
              <w:contextualSpacing w:val="0"/>
              <w:rPr>
                <w:rFonts w:ascii="Open Sans" w:hAnsi="Open Sans" w:cs="Open Sans"/>
                <w:sz w:val="20"/>
                <w:szCs w:val="20"/>
                <w:lang w:val="en-US"/>
              </w:rPr>
            </w:pPr>
            <w:r>
              <w:rPr>
                <w:rFonts w:ascii="Open Sans" w:hAnsi="Open Sans" w:cs="Open Sans"/>
                <w:sz w:val="20"/>
                <w:szCs w:val="20"/>
                <w:lang w:val="en-US"/>
              </w:rPr>
              <w:t xml:space="preserve">Given the type of work that they do, </w:t>
            </w:r>
            <w:proofErr w:type="gramStart"/>
            <w:r>
              <w:rPr>
                <w:rFonts w:ascii="Open Sans" w:hAnsi="Open Sans" w:cs="Open Sans"/>
                <w:sz w:val="20"/>
                <w:szCs w:val="20"/>
                <w:lang w:val="en-US"/>
              </w:rPr>
              <w:t>a number of</w:t>
            </w:r>
            <w:proofErr w:type="gramEnd"/>
            <w:r>
              <w:rPr>
                <w:rFonts w:ascii="Open Sans" w:hAnsi="Open Sans" w:cs="Open Sans"/>
                <w:sz w:val="20"/>
                <w:szCs w:val="20"/>
                <w:lang w:val="en-US"/>
              </w:rPr>
              <w:t xml:space="preserve"> NPOs will hold heritage assets, being intangible or tangible assets with historical, artistic, scientific, technological, geophysical or environmental qualities that </w:t>
            </w:r>
            <w:r w:rsidR="00DE58F6">
              <w:rPr>
                <w:rFonts w:ascii="Open Sans" w:hAnsi="Open Sans" w:cs="Open Sans"/>
                <w:sz w:val="20"/>
                <w:szCs w:val="20"/>
                <w:lang w:val="en-US"/>
              </w:rPr>
              <w:t xml:space="preserve">are </w:t>
            </w:r>
            <w:r>
              <w:rPr>
                <w:rFonts w:ascii="Open Sans" w:hAnsi="Open Sans" w:cs="Open Sans"/>
                <w:sz w:val="20"/>
                <w:szCs w:val="20"/>
                <w:lang w:val="en-US"/>
              </w:rPr>
              <w:t xml:space="preserve">held and maintained principally for </w:t>
            </w:r>
            <w:r w:rsidR="00DE58F6">
              <w:rPr>
                <w:rFonts w:ascii="Open Sans" w:hAnsi="Open Sans" w:cs="Open Sans"/>
                <w:sz w:val="20"/>
                <w:szCs w:val="20"/>
                <w:lang w:val="en-US"/>
              </w:rPr>
              <w:t xml:space="preserve">their </w:t>
            </w:r>
            <w:r>
              <w:rPr>
                <w:rFonts w:ascii="Open Sans" w:hAnsi="Open Sans" w:cs="Open Sans"/>
                <w:sz w:val="20"/>
                <w:szCs w:val="20"/>
                <w:lang w:val="en-US"/>
              </w:rPr>
              <w:t xml:space="preserve">contribution to knowledge and culture. As these items tend to be of some significance, we </w:t>
            </w:r>
            <w:r w:rsidR="00DE58F6">
              <w:rPr>
                <w:rFonts w:ascii="Open Sans" w:hAnsi="Open Sans" w:cs="Open Sans"/>
                <w:sz w:val="20"/>
                <w:szCs w:val="20"/>
                <w:lang w:val="en-US"/>
              </w:rPr>
              <w:t>consider</w:t>
            </w:r>
            <w:r>
              <w:rPr>
                <w:rFonts w:ascii="Open Sans" w:hAnsi="Open Sans" w:cs="Open Sans"/>
                <w:sz w:val="20"/>
                <w:szCs w:val="20"/>
                <w:lang w:val="en-US"/>
              </w:rPr>
              <w:t xml:space="preserve"> it will aid user’s understanding of the financial statements if certain information about heritage assets were to be disclosed, in</w:t>
            </w:r>
            <w:r w:rsidR="008D5295">
              <w:rPr>
                <w:rFonts w:ascii="Open Sans" w:hAnsi="Open Sans" w:cs="Open Sans"/>
                <w:sz w:val="20"/>
                <w:szCs w:val="20"/>
                <w:lang w:val="en-US"/>
              </w:rPr>
              <w:t>cluding:</w:t>
            </w:r>
          </w:p>
          <w:p w14:paraId="41DCC98F" w14:textId="23EAA2C3" w:rsidR="008D5295" w:rsidRDefault="008D5295" w:rsidP="008D5295">
            <w:pPr>
              <w:pStyle w:val="ListParagraph"/>
              <w:numPr>
                <w:ilvl w:val="1"/>
                <w:numId w:val="19"/>
              </w:numPr>
              <w:spacing w:before="120" w:after="120"/>
              <w:contextualSpacing w:val="0"/>
              <w:rPr>
                <w:rFonts w:ascii="Open Sans" w:hAnsi="Open Sans" w:cs="Open Sans"/>
                <w:sz w:val="20"/>
                <w:szCs w:val="20"/>
                <w:lang w:val="en-US"/>
              </w:rPr>
            </w:pPr>
            <w:r>
              <w:rPr>
                <w:rFonts w:ascii="Open Sans" w:hAnsi="Open Sans" w:cs="Open Sans"/>
                <w:sz w:val="20"/>
                <w:szCs w:val="20"/>
                <w:lang w:val="en-US"/>
              </w:rPr>
              <w:t>an understanding of the nature and scale of heritage assets held and how they are preserved and managed</w:t>
            </w:r>
          </w:p>
          <w:p w14:paraId="08D314B7" w14:textId="1E4E6DF3" w:rsidR="008D5295" w:rsidRDefault="008D5295" w:rsidP="008D5295">
            <w:pPr>
              <w:pStyle w:val="ListParagraph"/>
              <w:numPr>
                <w:ilvl w:val="1"/>
                <w:numId w:val="19"/>
              </w:numPr>
              <w:spacing w:before="120" w:after="120"/>
              <w:contextualSpacing w:val="0"/>
              <w:rPr>
                <w:rFonts w:ascii="Open Sans" w:hAnsi="Open Sans" w:cs="Open Sans"/>
                <w:sz w:val="20"/>
                <w:szCs w:val="20"/>
                <w:lang w:val="en-US"/>
              </w:rPr>
            </w:pPr>
            <w:r>
              <w:rPr>
                <w:rFonts w:ascii="Open Sans" w:hAnsi="Open Sans" w:cs="Open Sans"/>
                <w:sz w:val="20"/>
                <w:szCs w:val="20"/>
                <w:lang w:val="en-US"/>
              </w:rPr>
              <w:t xml:space="preserve">the value of those heritage assets donated, </w:t>
            </w:r>
          </w:p>
          <w:p w14:paraId="1A53DCE8" w14:textId="77777777" w:rsidR="008D5295" w:rsidRDefault="008D5295" w:rsidP="008D5295">
            <w:pPr>
              <w:pStyle w:val="ListParagraph"/>
              <w:numPr>
                <w:ilvl w:val="1"/>
                <w:numId w:val="19"/>
              </w:numPr>
              <w:spacing w:before="120" w:after="120"/>
              <w:contextualSpacing w:val="0"/>
              <w:rPr>
                <w:rFonts w:ascii="Open Sans" w:hAnsi="Open Sans" w:cs="Open Sans"/>
                <w:sz w:val="20"/>
                <w:szCs w:val="20"/>
                <w:lang w:val="en-US"/>
              </w:rPr>
            </w:pPr>
            <w:r>
              <w:rPr>
                <w:rFonts w:ascii="Open Sans" w:hAnsi="Open Sans" w:cs="Open Sans"/>
                <w:sz w:val="20"/>
                <w:szCs w:val="20"/>
                <w:lang w:val="en-US"/>
              </w:rPr>
              <w:t xml:space="preserve">any fair value gains and losses, and </w:t>
            </w:r>
          </w:p>
          <w:p w14:paraId="73CF00A2" w14:textId="24CE5306" w:rsidR="00995428" w:rsidRPr="00995428" w:rsidRDefault="008D5295" w:rsidP="008D5295">
            <w:pPr>
              <w:pStyle w:val="ListParagraph"/>
              <w:numPr>
                <w:ilvl w:val="1"/>
                <w:numId w:val="19"/>
              </w:numPr>
              <w:spacing w:before="120" w:after="120"/>
              <w:contextualSpacing w:val="0"/>
              <w:rPr>
                <w:rFonts w:ascii="Open Sans" w:hAnsi="Open Sans" w:cs="Open Sans"/>
                <w:sz w:val="20"/>
                <w:szCs w:val="20"/>
                <w:lang w:val="en-US"/>
              </w:rPr>
            </w:pPr>
            <w:r>
              <w:rPr>
                <w:rFonts w:ascii="Open Sans" w:hAnsi="Open Sans" w:cs="Open Sans"/>
                <w:sz w:val="20"/>
                <w:szCs w:val="20"/>
                <w:lang w:val="en-US"/>
              </w:rPr>
              <w:t>gains or losses on disposal and any impairments charged.</w:t>
            </w:r>
          </w:p>
          <w:p w14:paraId="71D7F86A" w14:textId="685ABAB9" w:rsidR="002C397F" w:rsidRPr="002B4376" w:rsidRDefault="002B4376" w:rsidP="002B4376">
            <w:pPr>
              <w:pStyle w:val="ListParagraph"/>
              <w:numPr>
                <w:ilvl w:val="0"/>
                <w:numId w:val="19"/>
              </w:numPr>
              <w:spacing w:before="120" w:after="120"/>
              <w:contextualSpacing w:val="0"/>
              <w:rPr>
                <w:rFonts w:ascii="Open Sans" w:hAnsi="Open Sans" w:cs="Open Sans"/>
                <w:sz w:val="20"/>
                <w:szCs w:val="20"/>
                <w:lang w:val="en-US"/>
              </w:rPr>
            </w:pPr>
            <w:r>
              <w:rPr>
                <w:rFonts w:ascii="Open Sans" w:hAnsi="Open Sans" w:cs="Open Sans"/>
                <w:sz w:val="20"/>
                <w:szCs w:val="20"/>
                <w:lang w:val="en-US"/>
              </w:rPr>
              <w:t>NPOs may act as custodian for assets of other NPOs</w:t>
            </w:r>
            <w:r w:rsidR="00DE58F6">
              <w:rPr>
                <w:rFonts w:ascii="Open Sans" w:hAnsi="Open Sans" w:cs="Open Sans"/>
                <w:sz w:val="20"/>
                <w:szCs w:val="20"/>
                <w:lang w:val="en-US"/>
              </w:rPr>
              <w:t>. Where they do, specific</w:t>
            </w:r>
            <w:r>
              <w:rPr>
                <w:rFonts w:ascii="Open Sans" w:hAnsi="Open Sans" w:cs="Open Sans"/>
                <w:sz w:val="20"/>
                <w:szCs w:val="20"/>
                <w:lang w:val="en-US"/>
              </w:rPr>
              <w:t xml:space="preserve"> disclosure</w:t>
            </w:r>
            <w:r w:rsidR="00DE58F6">
              <w:rPr>
                <w:rFonts w:ascii="Open Sans" w:hAnsi="Open Sans" w:cs="Open Sans"/>
                <w:sz w:val="20"/>
                <w:szCs w:val="20"/>
                <w:lang w:val="en-US"/>
              </w:rPr>
              <w:t>s may be required</w:t>
            </w:r>
            <w:r>
              <w:rPr>
                <w:rFonts w:ascii="Open Sans" w:hAnsi="Open Sans" w:cs="Open Sans"/>
                <w:sz w:val="20"/>
                <w:szCs w:val="20"/>
                <w:lang w:val="en-US"/>
              </w:rPr>
              <w:t xml:space="preserve"> for an understanding of the NPOs activities and for an understanding of how the assets are segregated from the NPOs own assets. </w:t>
            </w:r>
          </w:p>
        </w:tc>
      </w:tr>
    </w:tbl>
    <w:p w14:paraId="7A83EB8D" w14:textId="08FFC860" w:rsidR="00C77881" w:rsidRPr="00EB6705" w:rsidRDefault="00C77881" w:rsidP="00AC16B1">
      <w:pPr>
        <w:spacing w:before="120" w:after="120"/>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AC16B1">
            <w:pPr>
              <w:spacing w:before="120" w:after="120"/>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10: Approach to consolidated and separate financial statements </w:t>
            </w:r>
          </w:p>
        </w:tc>
        <w:tc>
          <w:tcPr>
            <w:tcW w:w="9924" w:type="dxa"/>
            <w:gridSpan w:val="2"/>
          </w:tcPr>
          <w:p w14:paraId="532912DE" w14:textId="77777777" w:rsidR="002C397F" w:rsidRDefault="002C0C3F" w:rsidP="00AC16B1">
            <w:pPr>
              <w:pStyle w:val="TableParagraph"/>
              <w:spacing w:before="120" w:after="120" w:line="254" w:lineRule="auto"/>
              <w:ind w:left="0" w:right="21"/>
              <w:rPr>
                <w:rFonts w:ascii="Open Sans" w:hAnsi="Open Sans" w:cs="Open Sans"/>
                <w:sz w:val="20"/>
                <w:szCs w:val="20"/>
              </w:rPr>
            </w:pPr>
            <w:r w:rsidRPr="002C0C3F">
              <w:rPr>
                <w:rFonts w:ascii="Open Sans" w:hAnsi="Open Sans" w:cs="Open Sans"/>
                <w:sz w:val="20"/>
                <w:szCs w:val="20"/>
              </w:rPr>
              <w:t xml:space="preserve">This </w:t>
            </w:r>
          </w:p>
          <w:p w14:paraId="7095BEBE" w14:textId="551CF67E" w:rsidR="008A350D" w:rsidRPr="008A350D" w:rsidRDefault="002C0C3F" w:rsidP="00AC16B1">
            <w:pPr>
              <w:pStyle w:val="TableParagraph"/>
              <w:spacing w:before="120" w:after="120"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 xml:space="preserve">in </w:t>
            </w:r>
            <w:proofErr w:type="gramStart"/>
            <w:r w:rsidRPr="002C0C3F">
              <w:rPr>
                <w:rFonts w:ascii="Open Sans" w:hAnsi="Open Sans" w:cs="Open Sans"/>
                <w:w w:val="105"/>
                <w:sz w:val="20"/>
                <w:szCs w:val="20"/>
              </w:rPr>
              <w:t>a number of</w:t>
            </w:r>
            <w:proofErr w:type="gramEnd"/>
            <w:r w:rsidRPr="002C0C3F">
              <w:rPr>
                <w:rFonts w:ascii="Open Sans" w:hAnsi="Open Sans" w:cs="Open Sans"/>
                <w:w w:val="105"/>
                <w:sz w:val="20"/>
                <w:szCs w:val="20"/>
              </w:rPr>
              <w:t xml:space="preserve">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AC16B1">
            <w:pPr>
              <w:spacing w:before="120" w:after="120"/>
              <w:jc w:val="both"/>
              <w:rPr>
                <w:rFonts w:ascii="Open Sans" w:hAnsi="Open Sans" w:cs="Open Sans"/>
                <w:b/>
                <w:bCs/>
                <w:sz w:val="20"/>
                <w:szCs w:val="20"/>
                <w:lang w:val="en-US"/>
              </w:rPr>
            </w:pPr>
          </w:p>
        </w:tc>
        <w:tc>
          <w:tcPr>
            <w:tcW w:w="1642" w:type="dxa"/>
          </w:tcPr>
          <w:p w14:paraId="23556D86" w14:textId="0D213327" w:rsidR="008A350D" w:rsidRPr="00EB6705" w:rsidRDefault="008A350D" w:rsidP="00AC16B1">
            <w:pPr>
              <w:spacing w:before="120" w:after="120"/>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AC16B1">
            <w:pPr>
              <w:spacing w:before="120" w:after="120"/>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AC16B1">
            <w:pPr>
              <w:numPr>
                <w:ilvl w:val="0"/>
                <w:numId w:val="8"/>
              </w:numPr>
              <w:spacing w:before="120" w:after="120"/>
              <w:ind w:left="318"/>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AC16B1">
            <w:pPr>
              <w:spacing w:before="120" w:after="120"/>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AC16B1">
            <w:pPr>
              <w:spacing w:before="120" w:after="120"/>
              <w:jc w:val="both"/>
              <w:rPr>
                <w:rFonts w:ascii="Open Sans" w:hAnsi="Open Sans" w:cs="Open Sans"/>
                <w:sz w:val="20"/>
                <w:szCs w:val="20"/>
                <w:lang w:val="en-US"/>
              </w:rPr>
            </w:pPr>
          </w:p>
        </w:tc>
        <w:tc>
          <w:tcPr>
            <w:tcW w:w="8282" w:type="dxa"/>
          </w:tcPr>
          <w:p w14:paraId="6D0D6A90" w14:textId="1C5C987C" w:rsidR="008A350D" w:rsidRPr="00850149" w:rsidRDefault="00850149" w:rsidP="00AC16B1">
            <w:pPr>
              <w:spacing w:before="120" w:after="120"/>
              <w:jc w:val="both"/>
              <w:rPr>
                <w:rFonts w:ascii="Open Sans" w:hAnsi="Open Sans" w:cs="Open Sans"/>
                <w:sz w:val="20"/>
                <w:szCs w:val="20"/>
                <w:lang w:val="nl-NL"/>
              </w:rPr>
            </w:pPr>
            <w:r w:rsidRPr="00850149">
              <w:rPr>
                <w:rFonts w:ascii="Open Sans" w:hAnsi="Open Sans" w:cs="Open Sans"/>
                <w:sz w:val="20"/>
                <w:szCs w:val="20"/>
                <w:lang w:val="nl-NL"/>
              </w:rPr>
              <w:t xml:space="preserve">Yes. </w:t>
            </w:r>
          </w:p>
        </w:tc>
      </w:tr>
      <w:tr w:rsidR="008A350D" w:rsidRPr="00EB6705" w14:paraId="3A6803D0" w14:textId="77777777" w:rsidTr="00A276B0">
        <w:tc>
          <w:tcPr>
            <w:tcW w:w="4388" w:type="dxa"/>
          </w:tcPr>
          <w:p w14:paraId="12F4AD57" w14:textId="01C18E36" w:rsidR="008A350D" w:rsidRPr="008A350D" w:rsidRDefault="008A350D" w:rsidP="00AC16B1">
            <w:pPr>
              <w:numPr>
                <w:ilvl w:val="0"/>
                <w:numId w:val="8"/>
              </w:numPr>
              <w:spacing w:before="120" w:after="120"/>
              <w:ind w:left="318"/>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AC16B1">
            <w:pPr>
              <w:spacing w:before="120" w:after="120"/>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AC16B1">
            <w:pPr>
              <w:spacing w:before="120" w:after="120"/>
              <w:jc w:val="both"/>
              <w:rPr>
                <w:rFonts w:ascii="Open Sans" w:hAnsi="Open Sans" w:cs="Open Sans"/>
                <w:sz w:val="20"/>
                <w:szCs w:val="20"/>
                <w:lang w:val="en-US"/>
              </w:rPr>
            </w:pPr>
          </w:p>
        </w:tc>
        <w:tc>
          <w:tcPr>
            <w:tcW w:w="8282" w:type="dxa"/>
          </w:tcPr>
          <w:p w14:paraId="5CEAE535" w14:textId="5974F20B" w:rsidR="008A350D" w:rsidRPr="00EA7D76" w:rsidRDefault="00EE0BF0" w:rsidP="00AC16B1">
            <w:pPr>
              <w:spacing w:before="120" w:after="120"/>
              <w:jc w:val="both"/>
              <w:rPr>
                <w:rFonts w:ascii="Open Sans" w:hAnsi="Open Sans" w:cs="Open Sans"/>
                <w:sz w:val="20"/>
                <w:szCs w:val="20"/>
                <w:lang w:val="nl-NL"/>
              </w:rPr>
            </w:pPr>
            <w:r w:rsidRPr="00EA7D76">
              <w:rPr>
                <w:rFonts w:ascii="Open Sans" w:hAnsi="Open Sans" w:cs="Open Sans"/>
                <w:sz w:val="20"/>
                <w:szCs w:val="20"/>
                <w:lang w:val="nl-NL"/>
              </w:rPr>
              <w:t xml:space="preserve">Yes, the </w:t>
            </w:r>
            <w:r w:rsidR="00EA7D76" w:rsidRPr="00EA7D76">
              <w:rPr>
                <w:rFonts w:ascii="Open Sans" w:hAnsi="Open Sans" w:cs="Open Sans"/>
                <w:sz w:val="20"/>
                <w:szCs w:val="20"/>
                <w:lang w:val="nl-NL"/>
              </w:rPr>
              <w:t xml:space="preserve">rebutable presumption makes it easy to apply for the majority of NPOs with a common </w:t>
            </w:r>
            <w:r w:rsidR="00850149">
              <w:rPr>
                <w:rFonts w:ascii="Open Sans" w:hAnsi="Open Sans" w:cs="Open Sans"/>
                <w:sz w:val="20"/>
                <w:szCs w:val="20"/>
                <w:lang w:val="nl-NL"/>
              </w:rPr>
              <w:t xml:space="preserve">structure of a </w:t>
            </w:r>
            <w:r w:rsidR="00EA7D76" w:rsidRPr="00EA7D76">
              <w:rPr>
                <w:rFonts w:ascii="Open Sans" w:hAnsi="Open Sans" w:cs="Open Sans"/>
                <w:sz w:val="20"/>
                <w:szCs w:val="20"/>
                <w:lang w:val="nl-NL"/>
              </w:rPr>
              <w:t>NPO parent</w:t>
            </w:r>
            <w:r w:rsidR="00850149">
              <w:rPr>
                <w:rFonts w:ascii="Open Sans" w:hAnsi="Open Sans" w:cs="Open Sans"/>
                <w:sz w:val="20"/>
                <w:szCs w:val="20"/>
                <w:lang w:val="nl-NL"/>
              </w:rPr>
              <w:t xml:space="preserve"> owning a</w:t>
            </w:r>
            <w:r w:rsidR="00850149" w:rsidRPr="00EA7D76">
              <w:rPr>
                <w:rFonts w:ascii="Open Sans" w:hAnsi="Open Sans" w:cs="Open Sans"/>
                <w:sz w:val="20"/>
                <w:szCs w:val="20"/>
                <w:lang w:val="nl-NL"/>
              </w:rPr>
              <w:t xml:space="preserve"> </w:t>
            </w:r>
            <w:r w:rsidR="00EA7D76" w:rsidRPr="00EA7D76">
              <w:rPr>
                <w:rFonts w:ascii="Open Sans" w:hAnsi="Open Sans" w:cs="Open Sans"/>
                <w:sz w:val="20"/>
                <w:szCs w:val="20"/>
                <w:lang w:val="nl-NL"/>
              </w:rPr>
              <w:t xml:space="preserve">corporate subsidiary, which is generally established for tax purposes. Therefore, we believe it is helpful for users of INPAG. </w:t>
            </w:r>
          </w:p>
        </w:tc>
      </w:tr>
      <w:tr w:rsidR="008A350D" w:rsidRPr="00EB6705" w14:paraId="2F1EAA3D" w14:textId="77777777" w:rsidTr="00A276B0">
        <w:tc>
          <w:tcPr>
            <w:tcW w:w="4388" w:type="dxa"/>
          </w:tcPr>
          <w:p w14:paraId="1F5D6D4D" w14:textId="2954B857" w:rsidR="008A350D" w:rsidRPr="008A350D" w:rsidRDefault="008A350D" w:rsidP="00AC16B1">
            <w:pPr>
              <w:numPr>
                <w:ilvl w:val="0"/>
                <w:numId w:val="8"/>
              </w:numPr>
              <w:spacing w:before="120" w:after="120"/>
              <w:ind w:left="318"/>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AC16B1">
            <w:pPr>
              <w:spacing w:before="120" w:after="120"/>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AC16B1">
            <w:pPr>
              <w:spacing w:before="120" w:after="120"/>
              <w:jc w:val="both"/>
              <w:rPr>
                <w:rFonts w:ascii="Open Sans" w:hAnsi="Open Sans" w:cs="Open Sans"/>
                <w:sz w:val="20"/>
                <w:szCs w:val="20"/>
                <w:lang w:val="en-US"/>
              </w:rPr>
            </w:pPr>
          </w:p>
        </w:tc>
        <w:tc>
          <w:tcPr>
            <w:tcW w:w="8282" w:type="dxa"/>
          </w:tcPr>
          <w:p w14:paraId="7EE3A3B6" w14:textId="5E595C6E" w:rsidR="008A350D" w:rsidRDefault="00EA7D76" w:rsidP="00AC16B1">
            <w:pPr>
              <w:spacing w:before="120" w:after="120"/>
              <w:jc w:val="both"/>
              <w:rPr>
                <w:rFonts w:ascii="Open Sans" w:hAnsi="Open Sans" w:cs="Open Sans"/>
                <w:sz w:val="20"/>
                <w:szCs w:val="20"/>
                <w:lang w:val="nl-NL"/>
              </w:rPr>
            </w:pPr>
            <w:r w:rsidRPr="0039577F">
              <w:rPr>
                <w:rFonts w:ascii="Open Sans" w:hAnsi="Open Sans" w:cs="Open Sans"/>
                <w:sz w:val="20"/>
                <w:szCs w:val="20"/>
                <w:lang w:val="nl-NL"/>
              </w:rPr>
              <w:t>Additional examples could be provided to explain when a subsidiary may not be consolidated</w:t>
            </w:r>
            <w:r w:rsidR="00DE58F6">
              <w:rPr>
                <w:rFonts w:ascii="Open Sans" w:hAnsi="Open Sans" w:cs="Open Sans"/>
                <w:sz w:val="20"/>
                <w:szCs w:val="20"/>
                <w:lang w:val="nl-NL"/>
              </w:rPr>
              <w:t>, eg</w:t>
            </w:r>
            <w:r w:rsidR="0039577F" w:rsidRPr="0039577F">
              <w:rPr>
                <w:rFonts w:ascii="Open Sans" w:hAnsi="Open Sans" w:cs="Open Sans"/>
                <w:sz w:val="20"/>
                <w:szCs w:val="20"/>
                <w:lang w:val="nl-NL"/>
              </w:rPr>
              <w:t xml:space="preserve"> when the subsidiary is not material to the results of the group</w:t>
            </w:r>
            <w:r w:rsidR="006A1289">
              <w:rPr>
                <w:rFonts w:ascii="Open Sans" w:hAnsi="Open Sans" w:cs="Open Sans"/>
                <w:sz w:val="20"/>
                <w:szCs w:val="20"/>
                <w:lang w:val="nl-NL"/>
              </w:rPr>
              <w:t>.</w:t>
            </w:r>
          </w:p>
          <w:p w14:paraId="7AA5363D" w14:textId="06E32A44" w:rsidR="009A300C" w:rsidRPr="0039577F" w:rsidRDefault="009A300C" w:rsidP="00AC16B1">
            <w:pPr>
              <w:spacing w:before="120" w:after="120"/>
              <w:jc w:val="both"/>
              <w:rPr>
                <w:rFonts w:ascii="Open Sans" w:hAnsi="Open Sans" w:cs="Open Sans"/>
                <w:sz w:val="20"/>
                <w:szCs w:val="20"/>
                <w:lang w:val="nl-NL"/>
              </w:rPr>
            </w:pPr>
          </w:p>
        </w:tc>
      </w:tr>
      <w:tr w:rsidR="008A350D" w:rsidRPr="00EB6705" w14:paraId="10910159" w14:textId="2F57F2D3" w:rsidTr="00A276B0">
        <w:tc>
          <w:tcPr>
            <w:tcW w:w="4388" w:type="dxa"/>
          </w:tcPr>
          <w:p w14:paraId="6A210A32" w14:textId="40B49990" w:rsidR="008A350D" w:rsidRPr="00EB6705" w:rsidRDefault="008A350D" w:rsidP="00AC16B1">
            <w:pPr>
              <w:numPr>
                <w:ilvl w:val="0"/>
                <w:numId w:val="8"/>
              </w:numPr>
              <w:spacing w:before="120" w:after="120"/>
              <w:ind w:left="318"/>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AC16B1">
            <w:pPr>
              <w:spacing w:before="120" w:after="120"/>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1644FA65" w:rsidR="009A300C" w:rsidRPr="0039577F" w:rsidRDefault="0039577F" w:rsidP="0039577F">
            <w:pPr>
              <w:spacing w:before="120" w:after="120"/>
              <w:jc w:val="both"/>
              <w:rPr>
                <w:rFonts w:ascii="Open Sans" w:hAnsi="Open Sans" w:cs="Open Sans"/>
                <w:sz w:val="20"/>
                <w:szCs w:val="20"/>
                <w:lang w:val="nl-NL"/>
              </w:rPr>
            </w:pPr>
            <w:r w:rsidRPr="0039577F">
              <w:rPr>
                <w:rFonts w:ascii="Open Sans" w:hAnsi="Open Sans" w:cs="Open Sans"/>
                <w:sz w:val="20"/>
                <w:szCs w:val="20"/>
                <w:lang w:val="nl-NL"/>
              </w:rPr>
              <w:t>Whilst we do not disagree with the alternatives proposed, as mentioned previously, we believe that the preparers should be allowed to use different terminology, provided that it is not misleading. This would also allow for adapations to be made to the standard suggested wording where there are jurisdictional requirements.</w:t>
            </w:r>
          </w:p>
        </w:tc>
      </w:tr>
    </w:tbl>
    <w:p w14:paraId="28006D2B" w14:textId="57B6C013" w:rsidR="001C3A48" w:rsidRPr="00EB6705" w:rsidRDefault="001C3A48" w:rsidP="00AC16B1">
      <w:pPr>
        <w:spacing w:before="120" w:after="120"/>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AC16B1">
            <w:pPr>
              <w:spacing w:before="120" w:after="120"/>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AC16B1">
            <w:pPr>
              <w:spacing w:before="120" w:after="120"/>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AC16B1">
            <w:pPr>
              <w:spacing w:before="120" w:after="120"/>
              <w:jc w:val="both"/>
              <w:rPr>
                <w:rFonts w:ascii="Open Sans" w:hAnsi="Open Sans" w:cs="Open Sans"/>
                <w:b/>
                <w:bCs/>
                <w:sz w:val="20"/>
                <w:szCs w:val="20"/>
                <w:lang w:val="en-US"/>
              </w:rPr>
            </w:pPr>
          </w:p>
        </w:tc>
        <w:tc>
          <w:tcPr>
            <w:tcW w:w="1642" w:type="dxa"/>
          </w:tcPr>
          <w:p w14:paraId="3A2E1B01" w14:textId="0A4A08F5" w:rsidR="00D8539B" w:rsidRPr="00EB6705" w:rsidRDefault="00D8539B" w:rsidP="00AC16B1">
            <w:pPr>
              <w:spacing w:before="120" w:after="120"/>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AC16B1">
            <w:pPr>
              <w:spacing w:before="120" w:after="120"/>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A7D76" w:rsidRDefault="00D8539B" w:rsidP="00AC16B1">
            <w:pPr>
              <w:numPr>
                <w:ilvl w:val="0"/>
                <w:numId w:val="12"/>
              </w:numPr>
              <w:spacing w:before="120" w:after="120"/>
              <w:ind w:left="318"/>
              <w:jc w:val="both"/>
              <w:rPr>
                <w:rFonts w:ascii="Open Sans" w:hAnsi="Open Sans" w:cs="Open Sans"/>
                <w:sz w:val="20"/>
                <w:szCs w:val="20"/>
                <w:lang w:val="en-US"/>
              </w:rPr>
            </w:pPr>
            <w:r w:rsidRPr="00EA7D76">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AC16B1">
            <w:pPr>
              <w:spacing w:before="120" w:after="120"/>
              <w:jc w:val="both"/>
              <w:rPr>
                <w:rFonts w:ascii="Open Sans" w:hAnsi="Open Sans" w:cs="Open Sans"/>
                <w:b/>
                <w:bCs/>
                <w:sz w:val="20"/>
                <w:szCs w:val="20"/>
                <w:lang w:val="en-US"/>
              </w:rPr>
            </w:pPr>
          </w:p>
        </w:tc>
        <w:tc>
          <w:tcPr>
            <w:tcW w:w="8282" w:type="dxa"/>
          </w:tcPr>
          <w:p w14:paraId="5A7174F1" w14:textId="530784B7" w:rsidR="00D8539B" w:rsidRPr="0039577F" w:rsidRDefault="00EA7D76" w:rsidP="00AC16B1">
            <w:pPr>
              <w:spacing w:before="120" w:after="120"/>
              <w:jc w:val="both"/>
              <w:rPr>
                <w:rFonts w:ascii="Open Sans" w:hAnsi="Open Sans" w:cs="Open Sans"/>
                <w:sz w:val="20"/>
                <w:szCs w:val="20"/>
                <w:lang w:val="en-US"/>
              </w:rPr>
            </w:pPr>
            <w:r w:rsidRPr="0039577F">
              <w:rPr>
                <w:rFonts w:ascii="Open Sans" w:hAnsi="Open Sans" w:cs="Open Sans"/>
                <w:sz w:val="20"/>
                <w:szCs w:val="20"/>
                <w:lang w:val="en-US"/>
              </w:rPr>
              <w:t xml:space="preserve">Nothing to note that has not already been discussed elsewhere. </w:t>
            </w:r>
          </w:p>
        </w:tc>
      </w:tr>
    </w:tbl>
    <w:p w14:paraId="6D13A06C" w14:textId="18F37165" w:rsidR="001C3A48" w:rsidRPr="00EB6705" w:rsidRDefault="001C3A48" w:rsidP="00AC16B1">
      <w:pPr>
        <w:spacing w:before="120" w:after="120"/>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AC16B1">
            <w:pPr>
              <w:spacing w:before="120" w:after="120"/>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AC16B1">
            <w:pPr>
              <w:spacing w:before="120" w:after="120"/>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AC16B1">
            <w:pPr>
              <w:pStyle w:val="TableParagraph"/>
              <w:spacing w:before="120" w:after="120"/>
              <w:ind w:left="0" w:right="204"/>
              <w:rPr>
                <w:rFonts w:ascii="Open Sans" w:hAnsi="Open Sans" w:cs="Open Sans"/>
                <w:b/>
                <w:bCs/>
                <w:sz w:val="20"/>
                <w:szCs w:val="20"/>
              </w:rPr>
            </w:pPr>
            <w:r w:rsidRPr="004933C9">
              <w:rPr>
                <w:rFonts w:ascii="Open Sans" w:hAnsi="Open Sans" w:cs="Open Sans"/>
                <w:sz w:val="20"/>
                <w:szCs w:val="20"/>
              </w:rPr>
              <w:lastRenderedPageBreak/>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w:t>
            </w:r>
            <w:r w:rsidRPr="004933C9">
              <w:rPr>
                <w:rFonts w:ascii="Open Sans" w:hAnsi="Open Sans" w:cs="Open Sans"/>
                <w:sz w:val="20"/>
                <w:szCs w:val="20"/>
              </w:rPr>
              <w:lastRenderedPageBreak/>
              <w:t>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AC16B1">
            <w:pPr>
              <w:spacing w:before="120" w:after="120"/>
              <w:jc w:val="both"/>
              <w:rPr>
                <w:rFonts w:ascii="Open Sans" w:hAnsi="Open Sans" w:cs="Open Sans"/>
                <w:b/>
                <w:bCs/>
                <w:sz w:val="20"/>
                <w:szCs w:val="20"/>
              </w:rPr>
            </w:pPr>
          </w:p>
        </w:tc>
        <w:tc>
          <w:tcPr>
            <w:tcW w:w="1642" w:type="dxa"/>
          </w:tcPr>
          <w:p w14:paraId="018A86AC" w14:textId="76B6F2B0" w:rsidR="002C5B7D" w:rsidRPr="00907EE8" w:rsidRDefault="002C5B7D" w:rsidP="00AC16B1">
            <w:pPr>
              <w:spacing w:before="120" w:after="120"/>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AC16B1">
            <w:pPr>
              <w:spacing w:before="120" w:after="120"/>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FB4B9A" w:rsidRDefault="00907EE8" w:rsidP="00AC16B1">
            <w:pPr>
              <w:numPr>
                <w:ilvl w:val="0"/>
                <w:numId w:val="10"/>
              </w:numPr>
              <w:spacing w:before="120" w:after="120"/>
              <w:ind w:left="318"/>
              <w:jc w:val="both"/>
              <w:rPr>
                <w:rFonts w:ascii="Open Sans" w:hAnsi="Open Sans" w:cs="Open Sans"/>
                <w:sz w:val="20"/>
                <w:szCs w:val="20"/>
                <w:lang w:val="en-US"/>
              </w:rPr>
            </w:pPr>
            <w:r w:rsidRPr="00FB4B9A">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AC16B1">
            <w:pPr>
              <w:pStyle w:val="paragraph"/>
              <w:spacing w:before="120" w:beforeAutospacing="0" w:after="12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AC16B1">
            <w:pPr>
              <w:spacing w:before="120" w:after="120"/>
              <w:rPr>
                <w:rFonts w:ascii="Open Sans" w:hAnsi="Open Sans" w:cs="Open Sans"/>
                <w:sz w:val="20"/>
                <w:szCs w:val="20"/>
                <w:lang w:val="en-US"/>
              </w:rPr>
            </w:pPr>
          </w:p>
        </w:tc>
        <w:tc>
          <w:tcPr>
            <w:tcW w:w="8282" w:type="dxa"/>
          </w:tcPr>
          <w:p w14:paraId="284A6BB2" w14:textId="1238EBCA" w:rsidR="00907EE8" w:rsidRPr="00FB4B9A" w:rsidRDefault="00FB4B9A" w:rsidP="00AC16B1">
            <w:pPr>
              <w:spacing w:before="120" w:after="120"/>
              <w:rPr>
                <w:rFonts w:ascii="Open Sans" w:hAnsi="Open Sans" w:cs="Open Sans"/>
                <w:sz w:val="20"/>
                <w:szCs w:val="20"/>
                <w:lang w:val="en-US"/>
              </w:rPr>
            </w:pPr>
            <w:r w:rsidRPr="00FB4B9A">
              <w:rPr>
                <w:rFonts w:ascii="Open Sans" w:hAnsi="Open Sans" w:cs="Open Sans"/>
                <w:sz w:val="20"/>
                <w:szCs w:val="20"/>
                <w:lang w:val="en-US"/>
              </w:rPr>
              <w:t xml:space="preserve">Yes, we agree with the proposed principles. </w:t>
            </w:r>
          </w:p>
        </w:tc>
      </w:tr>
      <w:tr w:rsidR="00907EE8" w:rsidRPr="00EB6705" w14:paraId="1F63D1EB" w14:textId="77777777" w:rsidTr="00A276B0">
        <w:tc>
          <w:tcPr>
            <w:tcW w:w="4388" w:type="dxa"/>
          </w:tcPr>
          <w:p w14:paraId="3DB2D9F2" w14:textId="4F288CD9" w:rsidR="00907EE8" w:rsidRPr="00907EE8" w:rsidRDefault="00907EE8" w:rsidP="00AC16B1">
            <w:pPr>
              <w:numPr>
                <w:ilvl w:val="0"/>
                <w:numId w:val="10"/>
              </w:numPr>
              <w:spacing w:before="120" w:after="120"/>
              <w:ind w:left="318"/>
              <w:jc w:val="both"/>
              <w:rPr>
                <w:rFonts w:ascii="Open Sans" w:hAnsi="Open Sans" w:cs="Open Sans"/>
                <w:sz w:val="20"/>
                <w:szCs w:val="20"/>
                <w:lang w:val="en-US"/>
              </w:rPr>
            </w:pPr>
            <w:r w:rsidRPr="00EB6705">
              <w:rPr>
                <w:rFonts w:ascii="Open Sans" w:hAnsi="Open Sans" w:cs="Open Sans"/>
                <w:sz w:val="20"/>
                <w:szCs w:val="20"/>
                <w:lang w:val="en-US"/>
              </w:rPr>
              <w:t>Do you agree with the scope of the minimum mandatory requirement, with additional information, such as sustainability reporting to be optional? If not, what changes should be made and why?</w:t>
            </w:r>
          </w:p>
        </w:tc>
        <w:tc>
          <w:tcPr>
            <w:tcW w:w="1642" w:type="dxa"/>
          </w:tcPr>
          <w:p w14:paraId="6AF41525" w14:textId="77777777" w:rsidR="00907EE8" w:rsidRPr="00EB6705" w:rsidRDefault="00907EE8" w:rsidP="00AC16B1">
            <w:pPr>
              <w:pStyle w:val="paragraph"/>
              <w:spacing w:before="120" w:beforeAutospacing="0" w:after="12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G35.8-G35.19, G35.30, AG35.2-AG35.13</w:t>
            </w:r>
            <w:r w:rsidRPr="00EB6705">
              <w:rPr>
                <w:rStyle w:val="eop"/>
                <w:rFonts w:ascii="Open Sans" w:hAnsi="Open Sans" w:cs="Open Sans"/>
                <w:sz w:val="20"/>
                <w:szCs w:val="20"/>
              </w:rPr>
              <w:t> </w:t>
            </w:r>
          </w:p>
          <w:p w14:paraId="115FFEBF" w14:textId="77777777" w:rsidR="00907EE8" w:rsidRPr="00EB6705" w:rsidRDefault="00907EE8" w:rsidP="00AC16B1">
            <w:pPr>
              <w:spacing w:before="120" w:after="120"/>
              <w:rPr>
                <w:rFonts w:ascii="Open Sans" w:hAnsi="Open Sans" w:cs="Open Sans"/>
                <w:sz w:val="20"/>
                <w:szCs w:val="20"/>
                <w:lang w:val="en-US"/>
              </w:rPr>
            </w:pPr>
          </w:p>
        </w:tc>
        <w:tc>
          <w:tcPr>
            <w:tcW w:w="8282" w:type="dxa"/>
          </w:tcPr>
          <w:p w14:paraId="1D18190F" w14:textId="4A4CBCFC" w:rsidR="002B4376" w:rsidRPr="002B4376" w:rsidRDefault="002B4376" w:rsidP="00AC16B1">
            <w:pPr>
              <w:spacing w:before="120" w:after="120"/>
              <w:rPr>
                <w:rFonts w:ascii="Open Sans" w:hAnsi="Open Sans" w:cs="Open Sans"/>
                <w:sz w:val="20"/>
                <w:szCs w:val="20"/>
                <w:lang w:val="en-US"/>
              </w:rPr>
            </w:pPr>
            <w:r w:rsidRPr="002B4376">
              <w:rPr>
                <w:rFonts w:ascii="Open Sans" w:hAnsi="Open Sans" w:cs="Open Sans"/>
                <w:sz w:val="20"/>
                <w:szCs w:val="20"/>
                <w:lang w:val="en-US"/>
              </w:rPr>
              <w:t>Sus</w:t>
            </w:r>
            <w:r>
              <w:rPr>
                <w:rFonts w:ascii="Open Sans" w:hAnsi="Open Sans" w:cs="Open Sans"/>
                <w:sz w:val="20"/>
                <w:szCs w:val="20"/>
                <w:lang w:val="en-US"/>
              </w:rPr>
              <w:t xml:space="preserve">tainability is a key issue currently and is the focus of a lot of NPOs and profit-orientated entities alike. Therefore, we do not feel sustainability reporting should be </w:t>
            </w:r>
            <w:r w:rsidR="00EE0BF0">
              <w:rPr>
                <w:rFonts w:ascii="Open Sans" w:hAnsi="Open Sans" w:cs="Open Sans"/>
                <w:sz w:val="20"/>
                <w:szCs w:val="20"/>
                <w:lang w:val="en-US"/>
              </w:rPr>
              <w:t xml:space="preserve">optional. However, the requirements would have to be scaleable </w:t>
            </w:r>
            <w:r w:rsidR="005D6CAA">
              <w:rPr>
                <w:rFonts w:ascii="Open Sans" w:hAnsi="Open Sans" w:cs="Open Sans"/>
                <w:sz w:val="20"/>
                <w:szCs w:val="20"/>
                <w:lang w:val="en-US"/>
              </w:rPr>
              <w:t>for smaller</w:t>
            </w:r>
            <w:r w:rsidR="00EE0BF0">
              <w:rPr>
                <w:rFonts w:ascii="Open Sans" w:hAnsi="Open Sans" w:cs="Open Sans"/>
                <w:sz w:val="20"/>
                <w:szCs w:val="20"/>
                <w:lang w:val="en-US"/>
              </w:rPr>
              <w:t xml:space="preserve"> NPOs </w:t>
            </w:r>
            <w:r w:rsidR="005D6CAA">
              <w:rPr>
                <w:rFonts w:ascii="Open Sans" w:hAnsi="Open Sans" w:cs="Open Sans"/>
                <w:sz w:val="20"/>
                <w:szCs w:val="20"/>
                <w:lang w:val="en-US"/>
              </w:rPr>
              <w:t xml:space="preserve">with less </w:t>
            </w:r>
            <w:r w:rsidR="003A2AAB">
              <w:rPr>
                <w:rFonts w:ascii="Open Sans" w:hAnsi="Open Sans" w:cs="Open Sans"/>
                <w:sz w:val="20"/>
                <w:szCs w:val="20"/>
                <w:lang w:val="en-US"/>
              </w:rPr>
              <w:t>resources</w:t>
            </w:r>
            <w:r w:rsidR="00EE0BF0">
              <w:rPr>
                <w:rFonts w:ascii="Open Sans" w:hAnsi="Open Sans" w:cs="Open Sans"/>
                <w:sz w:val="20"/>
                <w:szCs w:val="20"/>
                <w:lang w:val="en-US"/>
              </w:rPr>
              <w:t xml:space="preserve">. </w:t>
            </w:r>
          </w:p>
          <w:p w14:paraId="2ABC9318" w14:textId="1DF4C79A" w:rsidR="00A120F5" w:rsidRPr="002B4376" w:rsidRDefault="00EE0BF0" w:rsidP="00AC16B1">
            <w:pPr>
              <w:spacing w:before="120" w:after="120"/>
              <w:rPr>
                <w:rFonts w:ascii="Open Sans" w:hAnsi="Open Sans" w:cs="Open Sans"/>
                <w:sz w:val="20"/>
                <w:szCs w:val="20"/>
                <w:lang w:val="en-US"/>
              </w:rPr>
            </w:pPr>
            <w:r>
              <w:rPr>
                <w:rFonts w:ascii="Open Sans" w:hAnsi="Open Sans" w:cs="Open Sans"/>
                <w:sz w:val="20"/>
                <w:szCs w:val="20"/>
                <w:lang w:val="en-US"/>
              </w:rPr>
              <w:t xml:space="preserve">We believe that the guidance could go further in being prescriptive as to what the minimum requirements are for all NPOs, vs which requirements are scaleable to the size of the NPO. </w:t>
            </w:r>
          </w:p>
        </w:tc>
      </w:tr>
      <w:tr w:rsidR="00907EE8" w:rsidRPr="00EB6705" w14:paraId="038540FC" w14:textId="77777777" w:rsidTr="00A276B0">
        <w:tc>
          <w:tcPr>
            <w:tcW w:w="4388" w:type="dxa"/>
          </w:tcPr>
          <w:p w14:paraId="2AABA5CF" w14:textId="68617E62" w:rsidR="00907EE8" w:rsidRPr="00907EE8" w:rsidRDefault="00907EE8" w:rsidP="00AC16B1">
            <w:pPr>
              <w:numPr>
                <w:ilvl w:val="0"/>
                <w:numId w:val="10"/>
              </w:numPr>
              <w:spacing w:before="120" w:after="120"/>
              <w:ind w:left="318"/>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AC16B1">
            <w:pPr>
              <w:pStyle w:val="paragraph"/>
              <w:spacing w:before="120" w:beforeAutospacing="0" w:after="12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AC16B1">
            <w:pPr>
              <w:spacing w:before="120" w:after="120"/>
              <w:rPr>
                <w:rFonts w:ascii="Open Sans" w:hAnsi="Open Sans" w:cs="Open Sans"/>
                <w:sz w:val="20"/>
                <w:szCs w:val="20"/>
                <w:lang w:val="en-US"/>
              </w:rPr>
            </w:pPr>
          </w:p>
        </w:tc>
        <w:tc>
          <w:tcPr>
            <w:tcW w:w="8282" w:type="dxa"/>
          </w:tcPr>
          <w:p w14:paraId="4E5DE775" w14:textId="5AD29E3B" w:rsidR="00A120F5" w:rsidRPr="002B4376" w:rsidRDefault="00A120F5" w:rsidP="00AC16B1">
            <w:pPr>
              <w:spacing w:before="120" w:after="120"/>
              <w:rPr>
                <w:rFonts w:ascii="Open Sans" w:hAnsi="Open Sans" w:cs="Open Sans"/>
                <w:sz w:val="20"/>
                <w:szCs w:val="20"/>
                <w:lang w:val="en-US"/>
              </w:rPr>
            </w:pPr>
            <w:r w:rsidRPr="002B4376">
              <w:rPr>
                <w:rFonts w:ascii="Open Sans" w:hAnsi="Open Sans" w:cs="Open Sans"/>
                <w:sz w:val="20"/>
                <w:szCs w:val="20"/>
                <w:lang w:val="en-US"/>
              </w:rPr>
              <w:t>Yes</w:t>
            </w:r>
          </w:p>
        </w:tc>
      </w:tr>
      <w:tr w:rsidR="002C5B7D" w:rsidRPr="00EB6705" w14:paraId="45B3F70A" w14:textId="2B1302F5" w:rsidTr="00A276B0">
        <w:tc>
          <w:tcPr>
            <w:tcW w:w="4388" w:type="dxa"/>
          </w:tcPr>
          <w:p w14:paraId="1EA89DA1" w14:textId="02F50D21" w:rsidR="002C5B7D" w:rsidRPr="00EB6705" w:rsidRDefault="002C5B7D" w:rsidP="00AC16B1">
            <w:pPr>
              <w:numPr>
                <w:ilvl w:val="0"/>
                <w:numId w:val="10"/>
              </w:numPr>
              <w:spacing w:before="120" w:after="120"/>
              <w:ind w:left="318"/>
              <w:jc w:val="both"/>
              <w:rPr>
                <w:rFonts w:ascii="Open Sans" w:hAnsi="Open Sans" w:cs="Open Sans"/>
                <w:sz w:val="20"/>
                <w:szCs w:val="20"/>
                <w:lang w:val="en-US"/>
              </w:rPr>
            </w:pPr>
            <w:r w:rsidRPr="00EB6705">
              <w:rPr>
                <w:rFonts w:ascii="Open Sans" w:hAnsi="Open Sans" w:cs="Open Sans"/>
                <w:sz w:val="20"/>
                <w:szCs w:val="20"/>
                <w:lang w:val="en-US"/>
              </w:rPr>
              <w:lastRenderedPageBreak/>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AC16B1">
            <w:pPr>
              <w:spacing w:before="120" w:after="120"/>
              <w:rPr>
                <w:rFonts w:ascii="Open Sans" w:hAnsi="Open Sans" w:cs="Open Sans"/>
                <w:sz w:val="20"/>
                <w:szCs w:val="20"/>
                <w:lang w:val="en-US"/>
              </w:rPr>
            </w:pPr>
          </w:p>
          <w:p w14:paraId="1017CBED" w14:textId="77777777" w:rsidR="002C5B7D" w:rsidRPr="00EB6705" w:rsidRDefault="002C5B7D" w:rsidP="00AC16B1">
            <w:pPr>
              <w:spacing w:before="120" w:after="120"/>
              <w:rPr>
                <w:rFonts w:ascii="Open Sans" w:hAnsi="Open Sans" w:cs="Open Sans"/>
                <w:sz w:val="20"/>
                <w:szCs w:val="20"/>
                <w:lang w:val="en-US"/>
              </w:rPr>
            </w:pPr>
          </w:p>
          <w:p w14:paraId="4EB41C2D" w14:textId="77777777" w:rsidR="002C5B7D" w:rsidRPr="00EB6705" w:rsidRDefault="002C5B7D" w:rsidP="00AC16B1">
            <w:pPr>
              <w:pStyle w:val="paragraph"/>
              <w:spacing w:before="120" w:beforeAutospacing="0" w:after="120" w:afterAutospacing="0"/>
              <w:textAlignment w:val="baseline"/>
              <w:rPr>
                <w:rFonts w:ascii="Open Sans" w:hAnsi="Open Sans" w:cs="Open Sans"/>
                <w:sz w:val="20"/>
                <w:szCs w:val="20"/>
              </w:rPr>
            </w:pPr>
          </w:p>
          <w:p w14:paraId="12FF9D25" w14:textId="77777777" w:rsidR="002C5B7D" w:rsidRPr="00EB6705" w:rsidRDefault="002C5B7D" w:rsidP="00AC16B1">
            <w:pPr>
              <w:pStyle w:val="paragraph"/>
              <w:spacing w:before="120" w:beforeAutospacing="0" w:after="120" w:afterAutospacing="0"/>
              <w:textAlignment w:val="baseline"/>
              <w:rPr>
                <w:rStyle w:val="normaltextrun"/>
                <w:rFonts w:ascii="Open Sans" w:hAnsi="Open Sans" w:cs="Open Sans"/>
                <w:sz w:val="20"/>
                <w:szCs w:val="20"/>
              </w:rPr>
            </w:pPr>
          </w:p>
          <w:p w14:paraId="295146AC" w14:textId="77777777" w:rsidR="002C5B7D" w:rsidRPr="00EB6705" w:rsidRDefault="002C5B7D" w:rsidP="00AC16B1">
            <w:pPr>
              <w:pStyle w:val="paragraph"/>
              <w:spacing w:before="120" w:beforeAutospacing="0" w:after="120" w:afterAutospacing="0"/>
              <w:textAlignment w:val="baseline"/>
              <w:rPr>
                <w:rFonts w:ascii="Open Sans" w:hAnsi="Open Sans" w:cs="Open Sans"/>
                <w:b/>
                <w:bCs/>
                <w:sz w:val="20"/>
                <w:szCs w:val="20"/>
                <w:lang w:val="en-US"/>
              </w:rPr>
            </w:pPr>
          </w:p>
        </w:tc>
        <w:tc>
          <w:tcPr>
            <w:tcW w:w="8282" w:type="dxa"/>
          </w:tcPr>
          <w:p w14:paraId="13653258" w14:textId="08A3FB95" w:rsidR="002C5B7D" w:rsidRPr="00EE0BF0" w:rsidRDefault="00EF05A9" w:rsidP="00AC16B1">
            <w:pPr>
              <w:spacing w:before="120" w:after="120"/>
              <w:rPr>
                <w:rFonts w:ascii="Open Sans" w:hAnsi="Open Sans" w:cs="Open Sans"/>
                <w:sz w:val="20"/>
                <w:szCs w:val="20"/>
                <w:lang w:val="en-US"/>
              </w:rPr>
            </w:pPr>
            <w:r w:rsidRPr="00EE0BF0">
              <w:rPr>
                <w:rFonts w:ascii="Open Sans" w:hAnsi="Open Sans" w:cs="Open Sans"/>
                <w:sz w:val="20"/>
                <w:szCs w:val="20"/>
                <w:lang w:val="en-US"/>
              </w:rPr>
              <w:t>No</w:t>
            </w:r>
            <w:r w:rsidR="00EE0BF0">
              <w:rPr>
                <w:rFonts w:ascii="Open Sans" w:hAnsi="Open Sans" w:cs="Open Sans"/>
                <w:sz w:val="20"/>
                <w:szCs w:val="20"/>
                <w:lang w:val="en-US"/>
              </w:rPr>
              <w:t xml:space="preserve">. The type of information included within the narrative reporting requirements is information that the NPO should have to hand and are focussed on regularly. Therefore, there should not be a significant cost of including comparative information in the year of transition, to aid user’s understanding of changes in the organisation as well as trends in the performance and position of the NPO. </w:t>
            </w:r>
          </w:p>
        </w:tc>
      </w:tr>
    </w:tbl>
    <w:p w14:paraId="27BD1E7D" w14:textId="24191466" w:rsidR="009F74AC" w:rsidRPr="00EB6705" w:rsidRDefault="009F74AC" w:rsidP="00AC16B1">
      <w:pPr>
        <w:spacing w:before="120" w:after="120"/>
        <w:rPr>
          <w:rFonts w:ascii="Open Sans" w:hAnsi="Open Sans" w:cs="Open Sans"/>
          <w:b/>
          <w:bCs/>
          <w:sz w:val="20"/>
          <w:szCs w:val="20"/>
          <w:lang w:val="en-US"/>
        </w:rPr>
      </w:pPr>
    </w:p>
    <w:sectPr w:rsidR="009F74AC" w:rsidRPr="00EB6705" w:rsidSect="00A7789F">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39CF0" w14:textId="77777777" w:rsidR="0068267D" w:rsidRDefault="0068267D" w:rsidP="009F74AC">
      <w:pPr>
        <w:spacing w:after="0" w:line="240" w:lineRule="auto"/>
      </w:pPr>
      <w:r>
        <w:separator/>
      </w:r>
    </w:p>
  </w:endnote>
  <w:endnote w:type="continuationSeparator" w:id="0">
    <w:p w14:paraId="590DD002" w14:textId="77777777" w:rsidR="0068267D" w:rsidRDefault="0068267D" w:rsidP="009F74AC">
      <w:pPr>
        <w:spacing w:after="0" w:line="240" w:lineRule="auto"/>
      </w:pPr>
      <w:r>
        <w:continuationSeparator/>
      </w:r>
    </w:p>
  </w:endnote>
  <w:endnote w:type="continuationNotice" w:id="1">
    <w:p w14:paraId="32A4D6F3" w14:textId="77777777" w:rsidR="0068267D" w:rsidRDefault="006826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B32B" w14:textId="77777777" w:rsidR="0068267D" w:rsidRDefault="0068267D" w:rsidP="009F74AC">
      <w:pPr>
        <w:spacing w:after="0" w:line="240" w:lineRule="auto"/>
      </w:pPr>
      <w:r>
        <w:separator/>
      </w:r>
    </w:p>
  </w:footnote>
  <w:footnote w:type="continuationSeparator" w:id="0">
    <w:p w14:paraId="44C188BA" w14:textId="77777777" w:rsidR="0068267D" w:rsidRDefault="0068267D" w:rsidP="009F74AC">
      <w:pPr>
        <w:spacing w:after="0" w:line="240" w:lineRule="auto"/>
      </w:pPr>
      <w:r>
        <w:continuationSeparator/>
      </w:r>
    </w:p>
  </w:footnote>
  <w:footnote w:type="continuationNotice" w:id="1">
    <w:p w14:paraId="5C826ABE" w14:textId="77777777" w:rsidR="0068267D" w:rsidRDefault="006826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07CFD"/>
    <w:multiLevelType w:val="hybridMultilevel"/>
    <w:tmpl w:val="93CE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8020B"/>
    <w:multiLevelType w:val="hybridMultilevel"/>
    <w:tmpl w:val="0A12C250"/>
    <w:lvl w:ilvl="0" w:tplc="98CE82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479AB"/>
    <w:multiLevelType w:val="hybridMultilevel"/>
    <w:tmpl w:val="B77ED584"/>
    <w:lvl w:ilvl="0" w:tplc="98CE82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296622">
    <w:abstractNumId w:val="7"/>
  </w:num>
  <w:num w:numId="2" w16cid:durableId="122045443">
    <w:abstractNumId w:val="4"/>
  </w:num>
  <w:num w:numId="3" w16cid:durableId="570581994">
    <w:abstractNumId w:val="6"/>
  </w:num>
  <w:num w:numId="4" w16cid:durableId="1205019318">
    <w:abstractNumId w:val="16"/>
  </w:num>
  <w:num w:numId="5" w16cid:durableId="2010792413">
    <w:abstractNumId w:val="5"/>
  </w:num>
  <w:num w:numId="6" w16cid:durableId="1536189952">
    <w:abstractNumId w:val="18"/>
  </w:num>
  <w:num w:numId="7" w16cid:durableId="305622300">
    <w:abstractNumId w:val="15"/>
  </w:num>
  <w:num w:numId="8" w16cid:durableId="225380678">
    <w:abstractNumId w:val="12"/>
  </w:num>
  <w:num w:numId="9" w16cid:durableId="1357385968">
    <w:abstractNumId w:val="9"/>
  </w:num>
  <w:num w:numId="10" w16cid:durableId="1295678003">
    <w:abstractNumId w:val="13"/>
  </w:num>
  <w:num w:numId="11" w16cid:durableId="763308425">
    <w:abstractNumId w:val="3"/>
  </w:num>
  <w:num w:numId="12" w16cid:durableId="1266226659">
    <w:abstractNumId w:val="8"/>
  </w:num>
  <w:num w:numId="13" w16cid:durableId="526875742">
    <w:abstractNumId w:val="11"/>
  </w:num>
  <w:num w:numId="14" w16cid:durableId="841356893">
    <w:abstractNumId w:val="1"/>
  </w:num>
  <w:num w:numId="15" w16cid:durableId="1314725440">
    <w:abstractNumId w:val="17"/>
  </w:num>
  <w:num w:numId="16" w16cid:durableId="1904949418">
    <w:abstractNumId w:val="0"/>
  </w:num>
  <w:num w:numId="17" w16cid:durableId="1353993818">
    <w:abstractNumId w:val="2"/>
  </w:num>
  <w:num w:numId="18" w16cid:durableId="1905329580">
    <w:abstractNumId w:val="10"/>
  </w:num>
  <w:num w:numId="19" w16cid:durableId="4268482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5B21"/>
    <w:rsid w:val="00010435"/>
    <w:rsid w:val="00021FD9"/>
    <w:rsid w:val="00023210"/>
    <w:rsid w:val="0002746A"/>
    <w:rsid w:val="00032CDB"/>
    <w:rsid w:val="000419A1"/>
    <w:rsid w:val="00046D9C"/>
    <w:rsid w:val="000554EC"/>
    <w:rsid w:val="00057570"/>
    <w:rsid w:val="0007287A"/>
    <w:rsid w:val="00080D8D"/>
    <w:rsid w:val="00082C3C"/>
    <w:rsid w:val="000A4EAF"/>
    <w:rsid w:val="000A6348"/>
    <w:rsid w:val="000A7174"/>
    <w:rsid w:val="000B0C37"/>
    <w:rsid w:val="000B1B88"/>
    <w:rsid w:val="000B6DE4"/>
    <w:rsid w:val="000C07D4"/>
    <w:rsid w:val="000C4E37"/>
    <w:rsid w:val="000D7A7D"/>
    <w:rsid w:val="000F7A25"/>
    <w:rsid w:val="001211DC"/>
    <w:rsid w:val="001255FA"/>
    <w:rsid w:val="00126569"/>
    <w:rsid w:val="00144390"/>
    <w:rsid w:val="00181523"/>
    <w:rsid w:val="0018299E"/>
    <w:rsid w:val="0018792C"/>
    <w:rsid w:val="001948B2"/>
    <w:rsid w:val="001A12FB"/>
    <w:rsid w:val="001A4180"/>
    <w:rsid w:val="001A5D87"/>
    <w:rsid w:val="001A7FEC"/>
    <w:rsid w:val="001B6E16"/>
    <w:rsid w:val="001C3A48"/>
    <w:rsid w:val="001D2FA7"/>
    <w:rsid w:val="001E04DA"/>
    <w:rsid w:val="001F45E4"/>
    <w:rsid w:val="0020106B"/>
    <w:rsid w:val="0020260D"/>
    <w:rsid w:val="00210458"/>
    <w:rsid w:val="00230842"/>
    <w:rsid w:val="002322C4"/>
    <w:rsid w:val="002379AC"/>
    <w:rsid w:val="002414E0"/>
    <w:rsid w:val="00247337"/>
    <w:rsid w:val="0025268C"/>
    <w:rsid w:val="002538DD"/>
    <w:rsid w:val="0029021D"/>
    <w:rsid w:val="00292B2C"/>
    <w:rsid w:val="00297E2C"/>
    <w:rsid w:val="002A167D"/>
    <w:rsid w:val="002B4376"/>
    <w:rsid w:val="002B6584"/>
    <w:rsid w:val="002C0C3F"/>
    <w:rsid w:val="002C397F"/>
    <w:rsid w:val="002C5B7D"/>
    <w:rsid w:val="002D3E58"/>
    <w:rsid w:val="002E16CB"/>
    <w:rsid w:val="002E4F95"/>
    <w:rsid w:val="002F3F70"/>
    <w:rsid w:val="00300D8B"/>
    <w:rsid w:val="00320F61"/>
    <w:rsid w:val="00326516"/>
    <w:rsid w:val="003325FA"/>
    <w:rsid w:val="00336705"/>
    <w:rsid w:val="00354A3A"/>
    <w:rsid w:val="003745FB"/>
    <w:rsid w:val="003755E7"/>
    <w:rsid w:val="00383291"/>
    <w:rsid w:val="003939BC"/>
    <w:rsid w:val="0039577F"/>
    <w:rsid w:val="003A0428"/>
    <w:rsid w:val="003A11E8"/>
    <w:rsid w:val="003A1EEF"/>
    <w:rsid w:val="003A2AAB"/>
    <w:rsid w:val="003B33EC"/>
    <w:rsid w:val="003C7B7A"/>
    <w:rsid w:val="003E1067"/>
    <w:rsid w:val="003E10EA"/>
    <w:rsid w:val="00413E15"/>
    <w:rsid w:val="00417841"/>
    <w:rsid w:val="00430F02"/>
    <w:rsid w:val="004437B6"/>
    <w:rsid w:val="004441A6"/>
    <w:rsid w:val="00463CE5"/>
    <w:rsid w:val="004759D7"/>
    <w:rsid w:val="00480EB8"/>
    <w:rsid w:val="00484CCF"/>
    <w:rsid w:val="0048731E"/>
    <w:rsid w:val="004933C9"/>
    <w:rsid w:val="0049373C"/>
    <w:rsid w:val="004A3A1F"/>
    <w:rsid w:val="004E764D"/>
    <w:rsid w:val="00512D54"/>
    <w:rsid w:val="00515388"/>
    <w:rsid w:val="00522012"/>
    <w:rsid w:val="005247D7"/>
    <w:rsid w:val="005266FA"/>
    <w:rsid w:val="0053637E"/>
    <w:rsid w:val="005455C0"/>
    <w:rsid w:val="00546090"/>
    <w:rsid w:val="0054631C"/>
    <w:rsid w:val="005476F2"/>
    <w:rsid w:val="00551FD4"/>
    <w:rsid w:val="00560A79"/>
    <w:rsid w:val="0056475E"/>
    <w:rsid w:val="005A718A"/>
    <w:rsid w:val="005B3F30"/>
    <w:rsid w:val="005B5909"/>
    <w:rsid w:val="005B6CC3"/>
    <w:rsid w:val="005C792B"/>
    <w:rsid w:val="005D2FF0"/>
    <w:rsid w:val="005D6CAA"/>
    <w:rsid w:val="005E6190"/>
    <w:rsid w:val="005F18AF"/>
    <w:rsid w:val="005F2F75"/>
    <w:rsid w:val="00602EFA"/>
    <w:rsid w:val="00611507"/>
    <w:rsid w:val="00623B8E"/>
    <w:rsid w:val="006463FF"/>
    <w:rsid w:val="00651710"/>
    <w:rsid w:val="00675790"/>
    <w:rsid w:val="0068267D"/>
    <w:rsid w:val="00692087"/>
    <w:rsid w:val="00694053"/>
    <w:rsid w:val="00696DC5"/>
    <w:rsid w:val="006A1289"/>
    <w:rsid w:val="006A4A3D"/>
    <w:rsid w:val="006A4C7A"/>
    <w:rsid w:val="006B6418"/>
    <w:rsid w:val="006C21F6"/>
    <w:rsid w:val="006C52E0"/>
    <w:rsid w:val="006C5BCC"/>
    <w:rsid w:val="006D3B0D"/>
    <w:rsid w:val="0070517A"/>
    <w:rsid w:val="007076A7"/>
    <w:rsid w:val="00710CE2"/>
    <w:rsid w:val="00713C32"/>
    <w:rsid w:val="00721859"/>
    <w:rsid w:val="007279C0"/>
    <w:rsid w:val="007370DD"/>
    <w:rsid w:val="0077222F"/>
    <w:rsid w:val="00790FFE"/>
    <w:rsid w:val="007912AA"/>
    <w:rsid w:val="00791E3A"/>
    <w:rsid w:val="007953CE"/>
    <w:rsid w:val="0079758C"/>
    <w:rsid w:val="007A0550"/>
    <w:rsid w:val="007A3859"/>
    <w:rsid w:val="007A557C"/>
    <w:rsid w:val="007A6067"/>
    <w:rsid w:val="007B3A98"/>
    <w:rsid w:val="007B580B"/>
    <w:rsid w:val="007C6377"/>
    <w:rsid w:val="007D27F2"/>
    <w:rsid w:val="007F48A5"/>
    <w:rsid w:val="0080195C"/>
    <w:rsid w:val="008040ED"/>
    <w:rsid w:val="00812CA9"/>
    <w:rsid w:val="008137C0"/>
    <w:rsid w:val="00821B3D"/>
    <w:rsid w:val="00826B08"/>
    <w:rsid w:val="00837040"/>
    <w:rsid w:val="00841B58"/>
    <w:rsid w:val="00850149"/>
    <w:rsid w:val="00850BFE"/>
    <w:rsid w:val="00860251"/>
    <w:rsid w:val="008659A9"/>
    <w:rsid w:val="00865ACC"/>
    <w:rsid w:val="008714D8"/>
    <w:rsid w:val="00876D53"/>
    <w:rsid w:val="00891C29"/>
    <w:rsid w:val="008A350D"/>
    <w:rsid w:val="008C6B40"/>
    <w:rsid w:val="008C76B2"/>
    <w:rsid w:val="008D5295"/>
    <w:rsid w:val="008F2C10"/>
    <w:rsid w:val="00902018"/>
    <w:rsid w:val="00907EE8"/>
    <w:rsid w:val="00925D37"/>
    <w:rsid w:val="009313BE"/>
    <w:rsid w:val="00931959"/>
    <w:rsid w:val="00943505"/>
    <w:rsid w:val="00947451"/>
    <w:rsid w:val="00947E53"/>
    <w:rsid w:val="0095564D"/>
    <w:rsid w:val="00962E82"/>
    <w:rsid w:val="00973D7F"/>
    <w:rsid w:val="00993FE3"/>
    <w:rsid w:val="00995428"/>
    <w:rsid w:val="0099616F"/>
    <w:rsid w:val="00997746"/>
    <w:rsid w:val="009A11AA"/>
    <w:rsid w:val="009A300C"/>
    <w:rsid w:val="009A5255"/>
    <w:rsid w:val="009B0BE0"/>
    <w:rsid w:val="009B3349"/>
    <w:rsid w:val="009C5079"/>
    <w:rsid w:val="009D2751"/>
    <w:rsid w:val="009D5588"/>
    <w:rsid w:val="009D56E6"/>
    <w:rsid w:val="009D7C93"/>
    <w:rsid w:val="009F74AC"/>
    <w:rsid w:val="00A039B2"/>
    <w:rsid w:val="00A07D43"/>
    <w:rsid w:val="00A120F5"/>
    <w:rsid w:val="00A15E58"/>
    <w:rsid w:val="00A17864"/>
    <w:rsid w:val="00A22952"/>
    <w:rsid w:val="00A276B0"/>
    <w:rsid w:val="00A30143"/>
    <w:rsid w:val="00A5651A"/>
    <w:rsid w:val="00A60258"/>
    <w:rsid w:val="00A63109"/>
    <w:rsid w:val="00A63EF0"/>
    <w:rsid w:val="00A668F6"/>
    <w:rsid w:val="00A67810"/>
    <w:rsid w:val="00A770F0"/>
    <w:rsid w:val="00A7789F"/>
    <w:rsid w:val="00A81C55"/>
    <w:rsid w:val="00A824AB"/>
    <w:rsid w:val="00A96E23"/>
    <w:rsid w:val="00A97EFD"/>
    <w:rsid w:val="00AB5BDD"/>
    <w:rsid w:val="00AC16B1"/>
    <w:rsid w:val="00AC3F71"/>
    <w:rsid w:val="00AC4F2A"/>
    <w:rsid w:val="00AC6610"/>
    <w:rsid w:val="00AD01FF"/>
    <w:rsid w:val="00B14710"/>
    <w:rsid w:val="00B258B3"/>
    <w:rsid w:val="00B471E4"/>
    <w:rsid w:val="00B54007"/>
    <w:rsid w:val="00B653D9"/>
    <w:rsid w:val="00B738D5"/>
    <w:rsid w:val="00B91FEA"/>
    <w:rsid w:val="00BA1536"/>
    <w:rsid w:val="00BA2063"/>
    <w:rsid w:val="00BA32F9"/>
    <w:rsid w:val="00BD09CA"/>
    <w:rsid w:val="00BE132D"/>
    <w:rsid w:val="00BF437E"/>
    <w:rsid w:val="00BF6FEA"/>
    <w:rsid w:val="00C3346C"/>
    <w:rsid w:val="00C340C6"/>
    <w:rsid w:val="00C448D7"/>
    <w:rsid w:val="00C46F27"/>
    <w:rsid w:val="00C5292F"/>
    <w:rsid w:val="00C550B2"/>
    <w:rsid w:val="00C66202"/>
    <w:rsid w:val="00C70D93"/>
    <w:rsid w:val="00C70E46"/>
    <w:rsid w:val="00C74CD9"/>
    <w:rsid w:val="00C77881"/>
    <w:rsid w:val="00C8003A"/>
    <w:rsid w:val="00C806B8"/>
    <w:rsid w:val="00C95766"/>
    <w:rsid w:val="00CA5E81"/>
    <w:rsid w:val="00CA66E2"/>
    <w:rsid w:val="00CC2D7B"/>
    <w:rsid w:val="00CC7FF9"/>
    <w:rsid w:val="00CE1CA8"/>
    <w:rsid w:val="00CE3F32"/>
    <w:rsid w:val="00D01FDA"/>
    <w:rsid w:val="00D02400"/>
    <w:rsid w:val="00D102FE"/>
    <w:rsid w:val="00D105A1"/>
    <w:rsid w:val="00D140B0"/>
    <w:rsid w:val="00D170DB"/>
    <w:rsid w:val="00D1710E"/>
    <w:rsid w:val="00D34209"/>
    <w:rsid w:val="00D44BE7"/>
    <w:rsid w:val="00D453E5"/>
    <w:rsid w:val="00D60D12"/>
    <w:rsid w:val="00D64F48"/>
    <w:rsid w:val="00D672A7"/>
    <w:rsid w:val="00D8539B"/>
    <w:rsid w:val="00D90216"/>
    <w:rsid w:val="00DA5B5F"/>
    <w:rsid w:val="00DB1FA3"/>
    <w:rsid w:val="00DB7739"/>
    <w:rsid w:val="00DC3687"/>
    <w:rsid w:val="00DD6B4E"/>
    <w:rsid w:val="00DE58F6"/>
    <w:rsid w:val="00DF47D7"/>
    <w:rsid w:val="00E0252F"/>
    <w:rsid w:val="00E0347C"/>
    <w:rsid w:val="00E162A0"/>
    <w:rsid w:val="00E162AE"/>
    <w:rsid w:val="00E201D7"/>
    <w:rsid w:val="00E208DB"/>
    <w:rsid w:val="00E34C92"/>
    <w:rsid w:val="00E36F6E"/>
    <w:rsid w:val="00E467F5"/>
    <w:rsid w:val="00E4681B"/>
    <w:rsid w:val="00E60611"/>
    <w:rsid w:val="00E628A8"/>
    <w:rsid w:val="00E63126"/>
    <w:rsid w:val="00E71959"/>
    <w:rsid w:val="00E80EE2"/>
    <w:rsid w:val="00E81315"/>
    <w:rsid w:val="00E97B55"/>
    <w:rsid w:val="00EA3878"/>
    <w:rsid w:val="00EA7D76"/>
    <w:rsid w:val="00EB6705"/>
    <w:rsid w:val="00EB78C2"/>
    <w:rsid w:val="00EC0040"/>
    <w:rsid w:val="00EC26EB"/>
    <w:rsid w:val="00EE0BF0"/>
    <w:rsid w:val="00EE7BF3"/>
    <w:rsid w:val="00EF05A9"/>
    <w:rsid w:val="00EF110B"/>
    <w:rsid w:val="00F14452"/>
    <w:rsid w:val="00F24C90"/>
    <w:rsid w:val="00F3234F"/>
    <w:rsid w:val="00F432A0"/>
    <w:rsid w:val="00F47AC9"/>
    <w:rsid w:val="00F6667F"/>
    <w:rsid w:val="00F7239D"/>
    <w:rsid w:val="00F740AA"/>
    <w:rsid w:val="00F86A59"/>
    <w:rsid w:val="00F9105F"/>
    <w:rsid w:val="00FB43E6"/>
    <w:rsid w:val="00FB4B9A"/>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5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yperlink" Target="mailto:IFR4NPO@cipfa.org" TargetMode="External"/><Relationship Id="rId10" Type="http://schemas.openxmlformats.org/officeDocument/2006/relationships/hyperlink" Target="http://www.ifr4npo.org/ed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k.sladden@rsm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4858</Words>
  <Characters>27692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Laura Milner</cp:lastModifiedBy>
  <cp:revision>3</cp:revision>
  <dcterms:created xsi:type="dcterms:W3CDTF">2023-03-30T16:33:00Z</dcterms:created>
  <dcterms:modified xsi:type="dcterms:W3CDTF">2023-03-30T16:35:00Z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y fmtid="{D5CDD505-2E9C-101B-9397-08002B2CF9AE}" pid="3" name="PSLTemplateName">
    <vt:lpwstr>Normal</vt:lpwstr>
  </property>
</Properties>
</file>