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6CC19417" w:rsidR="00F6667F" w:rsidRPr="00EB6705" w:rsidRDefault="00F10448">
            <w:pPr>
              <w:rPr>
                <w:rFonts w:ascii="Open Sans" w:hAnsi="Open Sans" w:cs="Open Sans"/>
                <w:sz w:val="20"/>
                <w:szCs w:val="20"/>
              </w:rPr>
            </w:pPr>
            <w:r>
              <w:rPr>
                <w:rFonts w:ascii="Open Sans" w:hAnsi="Open Sans" w:cs="Open Sans"/>
                <w:sz w:val="20"/>
                <w:szCs w:val="20"/>
              </w:rPr>
              <w:t>George</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52514524" w:rsidR="00F6667F" w:rsidRPr="00EB6705" w:rsidRDefault="00F10448">
            <w:pPr>
              <w:rPr>
                <w:rFonts w:ascii="Open Sans" w:hAnsi="Open Sans" w:cs="Open Sans"/>
                <w:sz w:val="20"/>
                <w:szCs w:val="20"/>
              </w:rPr>
            </w:pPr>
            <w:r>
              <w:rPr>
                <w:rFonts w:ascii="Open Sans" w:hAnsi="Open Sans" w:cs="Open Sans"/>
                <w:sz w:val="20"/>
                <w:szCs w:val="20"/>
              </w:rPr>
              <w:t>Zimbabwe Council for Higher Education</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1937026F" w:rsidR="00DB7739" w:rsidRPr="00EB6705" w:rsidRDefault="00F10448">
            <w:pPr>
              <w:rPr>
                <w:rFonts w:ascii="Open Sans" w:hAnsi="Open Sans" w:cs="Open Sans"/>
                <w:sz w:val="20"/>
                <w:szCs w:val="20"/>
              </w:rPr>
            </w:pPr>
            <w:r>
              <w:rPr>
                <w:rFonts w:ascii="Open Sans" w:hAnsi="Open Sans" w:cs="Open Sans"/>
                <w:sz w:val="20"/>
                <w:szCs w:val="20"/>
              </w:rPr>
              <w:t>Mahembe</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322F9805" w:rsidR="00DB7739" w:rsidRPr="00EB6705" w:rsidRDefault="00F10448">
            <w:pPr>
              <w:rPr>
                <w:rFonts w:ascii="Open Sans" w:hAnsi="Open Sans" w:cs="Open Sans"/>
                <w:sz w:val="20"/>
                <w:szCs w:val="20"/>
              </w:rPr>
            </w:pPr>
            <w:r>
              <w:rPr>
                <w:rFonts w:ascii="Open Sans" w:hAnsi="Open Sans" w:cs="Open Sans"/>
                <w:sz w:val="20"/>
                <w:szCs w:val="20"/>
              </w:rPr>
              <w:t>As an individual</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51387515" w:rsidR="000C4E37" w:rsidRDefault="00F10448" w:rsidP="000C4E37">
            <w:pPr>
              <w:rPr>
                <w:rFonts w:ascii="Open Sans" w:hAnsi="Open Sans" w:cs="Open Sans"/>
                <w:sz w:val="20"/>
                <w:szCs w:val="20"/>
              </w:rPr>
            </w:pPr>
            <w:r>
              <w:rPr>
                <w:rFonts w:ascii="Open Sans" w:hAnsi="Open Sans" w:cs="Open Sans"/>
                <w:sz w:val="20"/>
                <w:szCs w:val="20"/>
              </w:rPr>
              <w:t>gmahembe@hotmail.com</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57812274" w:rsidR="000C4E37" w:rsidRPr="00EB6705" w:rsidRDefault="00F10448" w:rsidP="000C4E37">
            <w:pPr>
              <w:rPr>
                <w:rFonts w:ascii="Open Sans" w:hAnsi="Open Sans" w:cs="Open Sans"/>
                <w:sz w:val="20"/>
                <w:szCs w:val="20"/>
              </w:rPr>
            </w:pPr>
            <w:r>
              <w:rPr>
                <w:rFonts w:ascii="Open Sans" w:hAnsi="Open Sans" w:cs="Open Sans"/>
                <w:sz w:val="20"/>
                <w:szCs w:val="20"/>
              </w:rPr>
              <w:t>Zimbabwe</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173D6103" w:rsidR="000C4E37" w:rsidRPr="00EB6705" w:rsidRDefault="00F10448" w:rsidP="000C4E37">
            <w:pPr>
              <w:rPr>
                <w:rFonts w:ascii="Open Sans" w:hAnsi="Open Sans" w:cs="Open Sans"/>
                <w:sz w:val="20"/>
                <w:szCs w:val="20"/>
              </w:rPr>
            </w:pPr>
            <w:r>
              <w:rPr>
                <w:rFonts w:ascii="Open Sans" w:hAnsi="Open Sans" w:cs="Open Sans"/>
                <w:sz w:val="20"/>
                <w:szCs w:val="20"/>
              </w:rPr>
              <w:t>Finance Director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ie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68F172BD" w14:textId="77777777" w:rsidR="000C4E37" w:rsidRDefault="00F10448" w:rsidP="000C4E37">
            <w:pPr>
              <w:rPr>
                <w:rFonts w:ascii="Open Sans" w:hAnsi="Open Sans" w:cs="Open Sans"/>
                <w:sz w:val="20"/>
                <w:szCs w:val="20"/>
              </w:rPr>
            </w:pPr>
            <w:r>
              <w:rPr>
                <w:rFonts w:ascii="Open Sans" w:hAnsi="Open Sans" w:cs="Open Sans"/>
                <w:sz w:val="20"/>
                <w:szCs w:val="20"/>
              </w:rPr>
              <w:t>NPO</w:t>
            </w:r>
          </w:p>
          <w:p w14:paraId="2625B993" w14:textId="77777777" w:rsidR="00F10448" w:rsidRDefault="00F10448" w:rsidP="000C4E37">
            <w:pPr>
              <w:rPr>
                <w:rFonts w:ascii="Open Sans" w:hAnsi="Open Sans" w:cs="Open Sans"/>
                <w:sz w:val="20"/>
                <w:szCs w:val="20"/>
              </w:rPr>
            </w:pPr>
            <w:r>
              <w:rPr>
                <w:rFonts w:ascii="Open Sans" w:hAnsi="Open Sans" w:cs="Open Sans"/>
                <w:sz w:val="20"/>
                <w:szCs w:val="20"/>
              </w:rPr>
              <w:t>Accounting Standard Setter</w:t>
            </w:r>
          </w:p>
          <w:p w14:paraId="6B601C12" w14:textId="77777777" w:rsidR="00F10448" w:rsidRDefault="00F10448" w:rsidP="000C4E37">
            <w:pPr>
              <w:rPr>
                <w:rFonts w:ascii="Open Sans" w:hAnsi="Open Sans" w:cs="Open Sans"/>
                <w:sz w:val="20"/>
                <w:szCs w:val="20"/>
              </w:rPr>
            </w:pPr>
            <w:r>
              <w:rPr>
                <w:rFonts w:ascii="Open Sans" w:hAnsi="Open Sans" w:cs="Open Sans"/>
                <w:sz w:val="20"/>
                <w:szCs w:val="20"/>
              </w:rPr>
              <w:t>PAO</w:t>
            </w:r>
          </w:p>
          <w:p w14:paraId="2CADD64C" w14:textId="77777777" w:rsidR="00F10448" w:rsidRDefault="00F10448" w:rsidP="000C4E37">
            <w:pPr>
              <w:rPr>
                <w:rFonts w:ascii="Open Sans" w:hAnsi="Open Sans" w:cs="Open Sans"/>
                <w:sz w:val="20"/>
                <w:szCs w:val="20"/>
              </w:rPr>
            </w:pPr>
            <w:r>
              <w:rPr>
                <w:rFonts w:ascii="Open Sans" w:hAnsi="Open Sans" w:cs="Open Sans"/>
                <w:sz w:val="20"/>
                <w:szCs w:val="20"/>
              </w:rPr>
              <w:t>Academic</w:t>
            </w:r>
          </w:p>
          <w:p w14:paraId="35AE1A56" w14:textId="183A7DFB" w:rsidR="00F10448" w:rsidRPr="00EB6705" w:rsidRDefault="00F10448" w:rsidP="000C4E37">
            <w:pPr>
              <w:rPr>
                <w:rFonts w:ascii="Open Sans" w:hAnsi="Open Sans" w:cs="Open Sans"/>
                <w:sz w:val="20"/>
                <w:szCs w:val="20"/>
              </w:rPr>
            </w:pPr>
            <w:r>
              <w:rPr>
                <w:rFonts w:ascii="Open Sans" w:hAnsi="Open Sans" w:cs="Open Sans"/>
                <w:sz w:val="20"/>
                <w:szCs w:val="20"/>
              </w:rPr>
              <w:t>Public Sector preparer of financial statements</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354D6559"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r w:rsidR="00F10448">
              <w:rPr>
                <w:rFonts w:ascii="Open Sans" w:hAnsi="Open Sans" w:cs="Open Sans"/>
                <w:bCs/>
                <w:color w:val="000000"/>
                <w:sz w:val="20"/>
                <w:szCs w:val="20"/>
              </w:rPr>
              <w:t xml:space="preserve">    </w:t>
            </w:r>
            <w:r w:rsidR="00F10448" w:rsidRPr="00F10448">
              <w:rPr>
                <w:rFonts w:ascii="Open Sans" w:hAnsi="Open Sans" w:cs="Open Sans"/>
                <w:b/>
                <w:color w:val="000000"/>
                <w:sz w:val="20"/>
                <w:szCs w:val="20"/>
              </w:rPr>
              <w:t>YES</w:t>
            </w:r>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4DE17814" w14:textId="70AA47D2" w:rsidR="00A7789F" w:rsidRDefault="00F10448" w:rsidP="00A959C4">
            <w:pPr>
              <w:jc w:val="both"/>
              <w:rPr>
                <w:rFonts w:ascii="Open Sans" w:hAnsi="Open Sans" w:cs="Open Sans"/>
                <w:b/>
                <w:bCs/>
                <w:sz w:val="20"/>
                <w:szCs w:val="20"/>
                <w:lang w:val="en-US"/>
              </w:rPr>
            </w:pPr>
            <w:r>
              <w:rPr>
                <w:rFonts w:ascii="Open Sans" w:hAnsi="Open Sans" w:cs="Open Sans"/>
                <w:b/>
                <w:bCs/>
                <w:sz w:val="20"/>
                <w:szCs w:val="20"/>
                <w:lang w:val="en-US"/>
              </w:rPr>
              <w:t>Agreed</w:t>
            </w:r>
          </w:p>
          <w:p w14:paraId="5EF1D752" w14:textId="03533528" w:rsidR="00F10448" w:rsidRPr="00EB6705" w:rsidRDefault="00F10448" w:rsidP="00A959C4">
            <w:pPr>
              <w:jc w:val="both"/>
              <w:rPr>
                <w:rFonts w:ascii="Open Sans" w:hAnsi="Open Sans" w:cs="Open Sans"/>
                <w:b/>
                <w:bCs/>
                <w:sz w:val="20"/>
                <w:szCs w:val="20"/>
                <w:lang w:val="en-US"/>
              </w:rPr>
            </w:pP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6B29DE03" w14:textId="77777777" w:rsidR="00FE20EA" w:rsidRDefault="00F10448"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Agreed</w:t>
            </w:r>
          </w:p>
          <w:p w14:paraId="76DF1CE6" w14:textId="57171249" w:rsidR="00F10448" w:rsidRPr="00D90216" w:rsidRDefault="00F10448"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The categories are broad and allows flexibility and clarity to the preparers and those charged with managing inventories</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09917DE5" w14:textId="77777777" w:rsidR="00F10448" w:rsidRDefault="00F10448"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 xml:space="preserve">Agreed. </w:t>
            </w:r>
          </w:p>
          <w:p w14:paraId="17E8030D" w14:textId="544F8440" w:rsidR="00A7789F" w:rsidRPr="00EB6705" w:rsidRDefault="00F10448"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This gives flexibility and clarity to preparers in cases were Fair values are impossible to obtain</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0DE2DEF9" w14:textId="7246AB4D" w:rsidR="00D61337" w:rsidRDefault="00F10448"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Agreed</w:t>
            </w:r>
          </w:p>
          <w:p w14:paraId="430516A3" w14:textId="39F00A9E" w:rsidR="00F10448" w:rsidRPr="00EB6705" w:rsidRDefault="00F10448" w:rsidP="005476F2">
            <w:pPr>
              <w:spacing w:before="120" w:after="120"/>
              <w:rPr>
                <w:rFonts w:ascii="Open Sans" w:hAnsi="Open Sans" w:cs="Open Sans"/>
                <w:b/>
                <w:bCs/>
                <w:sz w:val="20"/>
                <w:szCs w:val="20"/>
                <w:lang w:val="en-US"/>
              </w:rPr>
            </w:pP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57E6250F" w:rsidR="00D61337" w:rsidRPr="00EB6705" w:rsidRDefault="00F10448"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Agreed</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lastRenderedPageBreak/>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3809B6A1" w14:textId="77777777" w:rsidR="00D61337" w:rsidRDefault="00F10448"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Agreed</w:t>
            </w:r>
          </w:p>
          <w:p w14:paraId="422C18B1" w14:textId="688A489B" w:rsidR="00F10448" w:rsidRPr="00EB6705" w:rsidRDefault="00F10448"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The discloser will be beneficial to the users of financial statements for a better understanding of the financial viability of the NPO.</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19FAA949" w14:textId="77777777" w:rsidR="00FE20EA" w:rsidRDefault="00365B54" w:rsidP="00E36F6E">
            <w:pPr>
              <w:rPr>
                <w:rFonts w:ascii="Open Sans" w:hAnsi="Open Sans" w:cs="Open Sans"/>
                <w:b/>
                <w:bCs/>
                <w:sz w:val="20"/>
                <w:szCs w:val="20"/>
                <w:lang w:val="en-US"/>
              </w:rPr>
            </w:pPr>
            <w:r>
              <w:rPr>
                <w:rFonts w:ascii="Open Sans" w:hAnsi="Open Sans" w:cs="Open Sans"/>
                <w:b/>
                <w:bCs/>
                <w:sz w:val="20"/>
                <w:szCs w:val="20"/>
                <w:lang w:val="en-US"/>
              </w:rPr>
              <w:t>Agreed</w:t>
            </w:r>
          </w:p>
          <w:p w14:paraId="7C8B9F39" w14:textId="3F00680D" w:rsidR="00365B54" w:rsidRPr="00EB6705" w:rsidRDefault="00365B54" w:rsidP="00E36F6E">
            <w:pPr>
              <w:rPr>
                <w:rFonts w:ascii="Open Sans" w:hAnsi="Open Sans" w:cs="Open Sans"/>
                <w:b/>
                <w:bCs/>
                <w:sz w:val="20"/>
                <w:szCs w:val="20"/>
                <w:lang w:val="en-US"/>
              </w:rPr>
            </w:pPr>
            <w:r>
              <w:rPr>
                <w:rFonts w:ascii="Open Sans" w:hAnsi="Open Sans" w:cs="Open Sans"/>
                <w:b/>
                <w:bCs/>
                <w:sz w:val="20"/>
                <w:szCs w:val="20"/>
                <w:lang w:val="en-US"/>
              </w:rPr>
              <w:t>Warranties are suitable for manufacturers and sellers. Onerous contracts will describe what is suitable for NPOs.</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5 step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provides</w:t>
            </w:r>
            <w:r w:rsidRPr="0072594C">
              <w:rPr>
                <w:rFonts w:ascii="Open Sans" w:hAnsi="Open Sans" w:cs="Open Sans"/>
                <w:color w:val="000000" w:themeColor="text1"/>
                <w:sz w:val="20"/>
                <w:szCs w:val="20"/>
              </w:rPr>
              <w:t xml:space="preserve">  It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 xml:space="preserve">If not, what alternative terms would you propose to achieve the </w:t>
            </w:r>
            <w:r w:rsidRPr="00455BD0">
              <w:rPr>
                <w:rFonts w:ascii="Open Sans" w:hAnsi="Open Sans" w:cs="Open Sans"/>
                <w:sz w:val="20"/>
                <w:szCs w:val="20"/>
              </w:rPr>
              <w:lastRenderedPageBreak/>
              <w:t>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5B88AE4C" w14:textId="77777777" w:rsidR="0054631C" w:rsidRDefault="00365B54" w:rsidP="00FE20EA">
            <w:pPr>
              <w:rPr>
                <w:rFonts w:ascii="Open Sans" w:hAnsi="Open Sans" w:cs="Open Sans"/>
                <w:b/>
                <w:bCs/>
                <w:sz w:val="20"/>
                <w:szCs w:val="20"/>
                <w:lang w:val="en-US"/>
              </w:rPr>
            </w:pPr>
            <w:r>
              <w:rPr>
                <w:rFonts w:ascii="Open Sans" w:hAnsi="Open Sans" w:cs="Open Sans"/>
                <w:b/>
                <w:bCs/>
                <w:sz w:val="20"/>
                <w:szCs w:val="20"/>
                <w:lang w:val="en-US"/>
              </w:rPr>
              <w:t>Agreed</w:t>
            </w:r>
          </w:p>
          <w:p w14:paraId="346FE653" w14:textId="489E870F" w:rsidR="00365B54" w:rsidRDefault="00365B54" w:rsidP="00FE20EA">
            <w:pPr>
              <w:rPr>
                <w:rFonts w:ascii="Open Sans" w:hAnsi="Open Sans" w:cs="Open Sans"/>
                <w:b/>
                <w:bCs/>
                <w:sz w:val="20"/>
                <w:szCs w:val="20"/>
                <w:lang w:val="en-US"/>
              </w:rPr>
            </w:pPr>
            <w:r>
              <w:rPr>
                <w:rFonts w:ascii="Open Sans" w:hAnsi="Open Sans" w:cs="Open Sans"/>
                <w:b/>
                <w:bCs/>
                <w:sz w:val="20"/>
                <w:szCs w:val="20"/>
                <w:lang w:val="en-US"/>
              </w:rPr>
              <w:t>New terminology aligned to NPOs.</w:t>
            </w:r>
          </w:p>
          <w:p w14:paraId="1501A078" w14:textId="158AD445" w:rsidR="00365B54" w:rsidRPr="00EB6705" w:rsidRDefault="00365B54" w:rsidP="00FE20EA">
            <w:pPr>
              <w:rPr>
                <w:rFonts w:ascii="Open Sans" w:hAnsi="Open Sans" w:cs="Open Sans"/>
                <w:b/>
                <w:bCs/>
                <w:sz w:val="20"/>
                <w:szCs w:val="20"/>
                <w:lang w:val="en-US"/>
              </w:rPr>
            </w:pPr>
            <w:r>
              <w:rPr>
                <w:rFonts w:ascii="Open Sans" w:hAnsi="Open Sans" w:cs="Open Sans"/>
                <w:b/>
                <w:bCs/>
                <w:sz w:val="20"/>
                <w:szCs w:val="20"/>
                <w:lang w:val="en-US"/>
              </w:rPr>
              <w:t>I do not foresee any practical consideration arising from the definitions because the types of transactions are primarily found in an NPO set-up.</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7E095093" w14:textId="77777777" w:rsidR="0054631C" w:rsidRDefault="00365B54" w:rsidP="00FE20EA">
            <w:pPr>
              <w:rPr>
                <w:rFonts w:ascii="Open Sans" w:hAnsi="Open Sans" w:cs="Open Sans"/>
                <w:b/>
                <w:bCs/>
                <w:sz w:val="20"/>
                <w:szCs w:val="20"/>
                <w:lang w:val="en-US"/>
              </w:rPr>
            </w:pPr>
            <w:r>
              <w:rPr>
                <w:rFonts w:ascii="Open Sans" w:hAnsi="Open Sans" w:cs="Open Sans"/>
                <w:b/>
                <w:bCs/>
                <w:sz w:val="20"/>
                <w:szCs w:val="20"/>
                <w:lang w:val="en-US"/>
              </w:rPr>
              <w:t>Agreed</w:t>
            </w:r>
          </w:p>
          <w:p w14:paraId="19A8C9D2" w14:textId="21338192" w:rsidR="00365B54" w:rsidRPr="00EB6705" w:rsidRDefault="00365B54" w:rsidP="00FE20EA">
            <w:pPr>
              <w:rPr>
                <w:rFonts w:ascii="Open Sans" w:hAnsi="Open Sans" w:cs="Open Sans"/>
                <w:b/>
                <w:bCs/>
                <w:sz w:val="20"/>
                <w:szCs w:val="20"/>
                <w:lang w:val="en-US"/>
              </w:rPr>
            </w:pPr>
            <w:r>
              <w:rPr>
                <w:rFonts w:ascii="Open Sans" w:hAnsi="Open Sans" w:cs="Open Sans"/>
                <w:b/>
                <w:bCs/>
                <w:sz w:val="20"/>
                <w:szCs w:val="20"/>
                <w:lang w:val="en-US"/>
              </w:rPr>
              <w:t>The structure brings clarity and makes it easier for the preparers and auditors and reduces the use of judgement in the treatment of revenue types.</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39A70572" w14:textId="316D1001" w:rsidR="00FE20EA" w:rsidRDefault="00365B54" w:rsidP="00FE20EA">
            <w:pPr>
              <w:rPr>
                <w:rFonts w:ascii="Open Sans" w:hAnsi="Open Sans" w:cs="Open Sans"/>
                <w:b/>
                <w:bCs/>
                <w:sz w:val="20"/>
                <w:szCs w:val="20"/>
                <w:lang w:val="en-US"/>
              </w:rPr>
            </w:pPr>
            <w:r>
              <w:rPr>
                <w:rFonts w:ascii="Open Sans" w:hAnsi="Open Sans" w:cs="Open Sans"/>
                <w:b/>
                <w:bCs/>
                <w:sz w:val="20"/>
                <w:szCs w:val="20"/>
                <w:lang w:val="en-US"/>
              </w:rPr>
              <w:t>Agreed</w:t>
            </w:r>
          </w:p>
          <w:p w14:paraId="2DD1BE5A" w14:textId="792F7CCF" w:rsidR="00365B54" w:rsidRPr="00EB6705" w:rsidRDefault="00365B54" w:rsidP="00FE20EA">
            <w:pPr>
              <w:rPr>
                <w:rFonts w:ascii="Open Sans" w:hAnsi="Open Sans" w:cs="Open Sans"/>
                <w:b/>
                <w:bCs/>
                <w:sz w:val="20"/>
                <w:szCs w:val="20"/>
                <w:lang w:val="en-US"/>
              </w:rPr>
            </w:pP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 xml:space="preserve">Do you agree with the allocation methods identified? If not, what </w:t>
            </w:r>
            <w:r w:rsidRPr="0037551B">
              <w:rPr>
                <w:rFonts w:ascii="Open Sans" w:hAnsi="Open Sans" w:cs="Open Sans"/>
                <w:sz w:val="20"/>
                <w:szCs w:val="20"/>
              </w:rPr>
              <w:lastRenderedPageBreak/>
              <w:t>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lastRenderedPageBreak/>
              <w:t>G23.53-G23.56, G23.125-G23.138, AG23.52-AG23.59</w:t>
            </w:r>
          </w:p>
        </w:tc>
        <w:tc>
          <w:tcPr>
            <w:tcW w:w="8282" w:type="dxa"/>
          </w:tcPr>
          <w:p w14:paraId="0CBBA25A" w14:textId="39A6170A" w:rsidR="00EF069E" w:rsidRDefault="00365B54" w:rsidP="00FE20EA">
            <w:pPr>
              <w:rPr>
                <w:rFonts w:ascii="Open Sans" w:hAnsi="Open Sans" w:cs="Open Sans"/>
                <w:b/>
                <w:bCs/>
                <w:sz w:val="20"/>
                <w:szCs w:val="20"/>
                <w:lang w:val="en-US"/>
              </w:rPr>
            </w:pPr>
            <w:r>
              <w:rPr>
                <w:rFonts w:ascii="Open Sans" w:hAnsi="Open Sans" w:cs="Open Sans"/>
                <w:b/>
                <w:bCs/>
                <w:sz w:val="20"/>
                <w:szCs w:val="20"/>
                <w:lang w:val="en-US"/>
              </w:rPr>
              <w:t>Agreed</w:t>
            </w:r>
          </w:p>
          <w:p w14:paraId="0C700B35" w14:textId="411EEF16" w:rsidR="00365B54" w:rsidRPr="00EB6705" w:rsidRDefault="00365B54" w:rsidP="00FE20EA">
            <w:pPr>
              <w:rPr>
                <w:rFonts w:ascii="Open Sans" w:hAnsi="Open Sans" w:cs="Open Sans"/>
                <w:b/>
                <w:bCs/>
                <w:sz w:val="20"/>
                <w:szCs w:val="20"/>
                <w:lang w:val="en-US"/>
              </w:rPr>
            </w:pPr>
            <w:r>
              <w:rPr>
                <w:rFonts w:ascii="Open Sans" w:hAnsi="Open Sans" w:cs="Open Sans"/>
                <w:b/>
                <w:bCs/>
                <w:sz w:val="20"/>
                <w:szCs w:val="20"/>
                <w:lang w:val="en-US"/>
              </w:rPr>
              <w:t>The recognition model allocates revenue uniformly based on enforceable obligations</w:t>
            </w:r>
            <w:r w:rsidR="00624486">
              <w:rPr>
                <w:rFonts w:ascii="Open Sans" w:hAnsi="Open Sans" w:cs="Open Sans"/>
                <w:b/>
                <w:bCs/>
                <w:sz w:val="20"/>
                <w:szCs w:val="20"/>
                <w:lang w:val="en-US"/>
              </w:rPr>
              <w:t xml:space="preserve"> and can be compared to the expected performance</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02D7BDDE" w:rsidR="00B62A32" w:rsidRPr="00EB6705" w:rsidRDefault="00624486" w:rsidP="00B62A32">
            <w:pPr>
              <w:rPr>
                <w:rFonts w:ascii="Open Sans" w:hAnsi="Open Sans" w:cs="Open Sans"/>
                <w:b/>
                <w:bCs/>
                <w:sz w:val="20"/>
                <w:szCs w:val="20"/>
                <w:lang w:val="en-US"/>
              </w:rPr>
            </w:pPr>
            <w:r>
              <w:rPr>
                <w:rFonts w:ascii="Open Sans" w:hAnsi="Open Sans" w:cs="Open Sans"/>
                <w:b/>
                <w:bCs/>
                <w:sz w:val="20"/>
                <w:szCs w:val="20"/>
                <w:lang w:val="en-US"/>
              </w:rPr>
              <w:t>Agreed</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087A776C" w:rsidR="00B62A32" w:rsidRPr="00EB6705" w:rsidRDefault="00624486" w:rsidP="00B62A32">
            <w:pPr>
              <w:rPr>
                <w:rFonts w:ascii="Open Sans" w:hAnsi="Open Sans" w:cs="Open Sans"/>
                <w:b/>
                <w:bCs/>
                <w:sz w:val="20"/>
                <w:szCs w:val="20"/>
                <w:lang w:val="en-US"/>
              </w:rPr>
            </w:pPr>
            <w:r>
              <w:rPr>
                <w:rFonts w:ascii="Open Sans" w:hAnsi="Open Sans" w:cs="Open Sans"/>
                <w:b/>
                <w:bCs/>
                <w:sz w:val="20"/>
                <w:szCs w:val="20"/>
                <w:lang w:val="en-US"/>
              </w:rPr>
              <w:t>Agreed</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113C63C7" w:rsidR="00B62A32" w:rsidRPr="00EB6705" w:rsidRDefault="00624486" w:rsidP="00B62A32">
            <w:pPr>
              <w:rPr>
                <w:rFonts w:ascii="Open Sans" w:hAnsi="Open Sans" w:cs="Open Sans"/>
                <w:b/>
                <w:bCs/>
                <w:sz w:val="20"/>
                <w:szCs w:val="20"/>
                <w:lang w:val="en-US"/>
              </w:rPr>
            </w:pPr>
            <w:r>
              <w:rPr>
                <w:rFonts w:ascii="Open Sans" w:hAnsi="Open Sans" w:cs="Open Sans"/>
                <w:b/>
                <w:bCs/>
                <w:sz w:val="20"/>
                <w:szCs w:val="20"/>
                <w:lang w:val="en-US"/>
              </w:rPr>
              <w:t>Agreed</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administrative tasks are generally not separate individually enforceable obligations, but a means to identify or report on resources in an </w:t>
            </w:r>
            <w:r w:rsidRPr="00455BD0">
              <w:rPr>
                <w:rFonts w:ascii="Open Sans" w:hAnsi="Open Sans" w:cs="Open Sans"/>
                <w:sz w:val="20"/>
                <w:szCs w:val="20"/>
              </w:rPr>
              <w:lastRenderedPageBreak/>
              <w:t>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G23.49</w:t>
            </w:r>
          </w:p>
        </w:tc>
        <w:tc>
          <w:tcPr>
            <w:tcW w:w="8282" w:type="dxa"/>
          </w:tcPr>
          <w:p w14:paraId="7D4C19D5" w14:textId="126BDAC9" w:rsidR="00B62A32" w:rsidRPr="00EB6705" w:rsidRDefault="00624486" w:rsidP="00B62A32">
            <w:pPr>
              <w:rPr>
                <w:rFonts w:ascii="Open Sans" w:hAnsi="Open Sans" w:cs="Open Sans"/>
                <w:b/>
                <w:bCs/>
                <w:sz w:val="20"/>
                <w:szCs w:val="20"/>
                <w:lang w:val="en-US"/>
              </w:rPr>
            </w:pPr>
            <w:r>
              <w:rPr>
                <w:rFonts w:ascii="Open Sans" w:hAnsi="Open Sans" w:cs="Open Sans"/>
                <w:b/>
                <w:bCs/>
                <w:sz w:val="20"/>
                <w:szCs w:val="20"/>
                <w:lang w:val="en-US"/>
              </w:rPr>
              <w:t>Agreed</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38C0B5F2" w14:textId="77777777" w:rsidR="00B62A32" w:rsidRDefault="00624486" w:rsidP="00B62A32">
            <w:pPr>
              <w:rPr>
                <w:rFonts w:ascii="Open Sans" w:hAnsi="Open Sans" w:cs="Open Sans"/>
                <w:b/>
                <w:bCs/>
                <w:sz w:val="20"/>
                <w:szCs w:val="20"/>
                <w:lang w:val="en-US"/>
              </w:rPr>
            </w:pPr>
            <w:r>
              <w:rPr>
                <w:rFonts w:ascii="Open Sans" w:hAnsi="Open Sans" w:cs="Open Sans"/>
                <w:b/>
                <w:bCs/>
                <w:sz w:val="20"/>
                <w:szCs w:val="20"/>
                <w:lang w:val="en-US"/>
              </w:rPr>
              <w:t xml:space="preserve">Agreed </w:t>
            </w:r>
          </w:p>
          <w:p w14:paraId="174EC5AE" w14:textId="35AC1620" w:rsidR="00624486" w:rsidRPr="00EB6705" w:rsidRDefault="00624486" w:rsidP="00B62A32">
            <w:pPr>
              <w:rPr>
                <w:rFonts w:ascii="Open Sans" w:hAnsi="Open Sans" w:cs="Open Sans"/>
                <w:b/>
                <w:bCs/>
                <w:sz w:val="20"/>
                <w:szCs w:val="20"/>
                <w:lang w:val="en-US"/>
              </w:rPr>
            </w:pPr>
            <w:r>
              <w:rPr>
                <w:rFonts w:ascii="Open Sans" w:hAnsi="Open Sans" w:cs="Open Sans"/>
                <w:b/>
                <w:bCs/>
                <w:sz w:val="20"/>
                <w:szCs w:val="20"/>
                <w:lang w:val="en-US"/>
              </w:rPr>
              <w:t>The proposed disclosures are currently the right level. Further feedback can be obtained once the INPAG is implemented</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2A9B5AF2" w:rsidR="00B62A32" w:rsidRPr="00EB6705" w:rsidRDefault="00206A43" w:rsidP="00B62A32">
            <w:pPr>
              <w:rPr>
                <w:rFonts w:ascii="Open Sans" w:hAnsi="Open Sans" w:cs="Open Sans"/>
                <w:b/>
                <w:bCs/>
                <w:sz w:val="20"/>
                <w:szCs w:val="20"/>
                <w:lang w:val="en-US"/>
              </w:rPr>
            </w:pPr>
            <w:r>
              <w:rPr>
                <w:rFonts w:ascii="Open Sans" w:hAnsi="Open Sans" w:cs="Open Sans"/>
                <w:b/>
                <w:bCs/>
                <w:sz w:val="20"/>
                <w:szCs w:val="20"/>
                <w:lang w:val="en-US"/>
              </w:rPr>
              <w:t>The proposals clear any confusion and brings clarity and understandability by the user of the financial statements</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23, including whether the full content of the IFRS for SMEs section on revenue from contracts </w:t>
            </w:r>
            <w:r>
              <w:rPr>
                <w:rFonts w:ascii="Open Sans" w:hAnsi="Open Sans" w:cs="Open Sans"/>
                <w:sz w:val="20"/>
                <w:szCs w:val="20"/>
              </w:rPr>
              <w:lastRenderedPageBreak/>
              <w:t>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3A0FC8A3" w:rsidR="00B62A32" w:rsidRPr="00EB6705" w:rsidRDefault="00206A43" w:rsidP="00B62A32">
            <w:pPr>
              <w:rPr>
                <w:rFonts w:ascii="Open Sans" w:hAnsi="Open Sans" w:cs="Open Sans"/>
                <w:b/>
                <w:bCs/>
                <w:sz w:val="20"/>
                <w:szCs w:val="20"/>
                <w:lang w:val="en-US"/>
              </w:rPr>
            </w:pPr>
            <w:r>
              <w:rPr>
                <w:rFonts w:ascii="Open Sans" w:hAnsi="Open Sans" w:cs="Open Sans"/>
                <w:b/>
                <w:bCs/>
                <w:sz w:val="20"/>
                <w:szCs w:val="20"/>
                <w:lang w:val="en-US"/>
              </w:rPr>
              <w:t>Some of the sections of IFRS for SMEs are adequately covered in other sections of INPAG, so at this stage the proposed section 23 of INPAG is adequate for the purposes of NPOs</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088C9C25" w14:textId="0FF02709" w:rsidR="00EE70DF" w:rsidRDefault="00206A43" w:rsidP="00EE70DF">
            <w:pPr>
              <w:rPr>
                <w:rFonts w:ascii="Open Sans" w:hAnsi="Open Sans" w:cs="Open Sans"/>
                <w:b/>
                <w:bCs/>
                <w:sz w:val="20"/>
                <w:szCs w:val="20"/>
                <w:lang w:val="en-US"/>
              </w:rPr>
            </w:pPr>
            <w:r>
              <w:rPr>
                <w:rFonts w:ascii="Open Sans" w:hAnsi="Open Sans" w:cs="Open Sans"/>
                <w:b/>
                <w:bCs/>
                <w:sz w:val="20"/>
                <w:szCs w:val="20"/>
                <w:lang w:val="en-US"/>
              </w:rPr>
              <w:t>Agreed</w:t>
            </w:r>
          </w:p>
          <w:p w14:paraId="5C708D66" w14:textId="63F0A33F" w:rsidR="00206A43" w:rsidRPr="00EB6705" w:rsidRDefault="00206A43" w:rsidP="00EE70DF">
            <w:pPr>
              <w:rPr>
                <w:rFonts w:ascii="Open Sans" w:hAnsi="Open Sans" w:cs="Open Sans"/>
                <w:b/>
                <w:bCs/>
                <w:sz w:val="20"/>
                <w:szCs w:val="20"/>
                <w:lang w:val="en-US"/>
              </w:rPr>
            </w:pPr>
            <w:r>
              <w:rPr>
                <w:rFonts w:ascii="Open Sans" w:hAnsi="Open Sans" w:cs="Open Sans"/>
                <w:b/>
                <w:bCs/>
                <w:sz w:val="20"/>
                <w:szCs w:val="20"/>
                <w:lang w:val="en-US"/>
              </w:rPr>
              <w:t>The terminology bring NPOs context into the INPAG and I do not see any practical issues that might arise.</w:t>
            </w: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r w:rsidRPr="00455BD0">
              <w:rPr>
                <w:rFonts w:ascii="Open Sans" w:hAnsi="Open Sans" w:cs="Open Sans"/>
                <w:sz w:val="20"/>
                <w:szCs w:val="20"/>
              </w:rPr>
              <w:t>a</w:t>
            </w:r>
            <w:r>
              <w:rPr>
                <w:rFonts w:ascii="Open Sans" w:hAnsi="Open Sans" w:cs="Open Sans"/>
                <w:sz w:val="20"/>
                <w:szCs w:val="20"/>
              </w:rPr>
              <w:t>n other</w:t>
            </w:r>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51061A73" w:rsidR="00EE70DF" w:rsidRPr="00EB6705" w:rsidRDefault="003921BA" w:rsidP="00EE70DF">
            <w:pPr>
              <w:rPr>
                <w:rFonts w:ascii="Open Sans" w:hAnsi="Open Sans" w:cs="Open Sans"/>
                <w:b/>
                <w:bCs/>
                <w:sz w:val="20"/>
                <w:szCs w:val="20"/>
                <w:lang w:val="en-US"/>
              </w:rPr>
            </w:pPr>
            <w:r>
              <w:rPr>
                <w:rFonts w:ascii="Open Sans" w:hAnsi="Open Sans" w:cs="Open Sans"/>
                <w:b/>
                <w:bCs/>
                <w:sz w:val="20"/>
                <w:szCs w:val="20"/>
                <w:lang w:val="en-US"/>
              </w:rPr>
              <w:t>Agreed</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1DC68F57" w14:textId="77777777" w:rsidR="00EE70DF" w:rsidRDefault="003921BA" w:rsidP="00EE70DF">
            <w:pPr>
              <w:rPr>
                <w:rFonts w:ascii="Open Sans" w:hAnsi="Open Sans" w:cs="Open Sans"/>
                <w:b/>
                <w:bCs/>
                <w:sz w:val="20"/>
                <w:szCs w:val="20"/>
                <w:lang w:val="en-US"/>
              </w:rPr>
            </w:pPr>
            <w:r>
              <w:rPr>
                <w:rFonts w:ascii="Open Sans" w:hAnsi="Open Sans" w:cs="Open Sans"/>
                <w:b/>
                <w:bCs/>
                <w:sz w:val="20"/>
                <w:szCs w:val="20"/>
                <w:lang w:val="en-US"/>
              </w:rPr>
              <w:t>Agreed</w:t>
            </w:r>
          </w:p>
          <w:p w14:paraId="77C7EE79" w14:textId="0E194FBC" w:rsidR="003921BA" w:rsidRPr="00EB6705" w:rsidRDefault="003921BA" w:rsidP="00EE70DF">
            <w:pPr>
              <w:rPr>
                <w:rFonts w:ascii="Open Sans" w:hAnsi="Open Sans" w:cs="Open Sans"/>
                <w:b/>
                <w:bCs/>
                <w:sz w:val="20"/>
                <w:szCs w:val="20"/>
                <w:lang w:val="en-US"/>
              </w:rPr>
            </w:pPr>
            <w:r>
              <w:rPr>
                <w:rFonts w:ascii="Open Sans" w:hAnsi="Open Sans" w:cs="Open Sans"/>
                <w:b/>
                <w:bCs/>
                <w:sz w:val="20"/>
                <w:szCs w:val="20"/>
                <w:lang w:val="en-US"/>
              </w:rPr>
              <w:t xml:space="preserve">Some transactions or practice will create an “expectation” that is likely to be binding on an NPO. In my view equal weight should be applied to the two so that there is uniformity. Using different weights brings is the limitation with the use of judgements. </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066272BF" w:rsidR="00EE70DF" w:rsidRPr="00EB6705" w:rsidRDefault="003921BA" w:rsidP="00EE70DF">
            <w:pPr>
              <w:rPr>
                <w:rFonts w:ascii="Open Sans" w:hAnsi="Open Sans" w:cs="Open Sans"/>
                <w:b/>
                <w:bCs/>
                <w:sz w:val="20"/>
                <w:szCs w:val="20"/>
                <w:lang w:val="en-US"/>
              </w:rPr>
            </w:pPr>
            <w:r>
              <w:rPr>
                <w:rFonts w:ascii="Open Sans" w:hAnsi="Open Sans" w:cs="Open Sans"/>
                <w:b/>
                <w:bCs/>
                <w:sz w:val="20"/>
                <w:szCs w:val="20"/>
                <w:lang w:val="en-US"/>
              </w:rPr>
              <w:t>Agreed</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77D3E5A8" w:rsidR="00EE70DF" w:rsidRPr="00EB6705" w:rsidRDefault="003921BA" w:rsidP="00EE70DF">
            <w:pPr>
              <w:rPr>
                <w:rFonts w:ascii="Open Sans" w:hAnsi="Open Sans" w:cs="Open Sans"/>
                <w:b/>
                <w:bCs/>
                <w:sz w:val="20"/>
                <w:szCs w:val="20"/>
                <w:lang w:val="en-US"/>
              </w:rPr>
            </w:pPr>
            <w:r>
              <w:rPr>
                <w:rFonts w:ascii="Open Sans" w:hAnsi="Open Sans" w:cs="Open Sans"/>
                <w:b/>
                <w:bCs/>
                <w:sz w:val="20"/>
                <w:szCs w:val="20"/>
                <w:lang w:val="en-US"/>
              </w:rPr>
              <w:t>Agreed</w:t>
            </w: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058B0E9E" w14:textId="77777777" w:rsidR="00EE70DF" w:rsidRDefault="003921BA" w:rsidP="00EE70DF">
            <w:pPr>
              <w:rPr>
                <w:rFonts w:ascii="Open Sans" w:hAnsi="Open Sans" w:cs="Open Sans"/>
                <w:b/>
                <w:bCs/>
                <w:sz w:val="20"/>
                <w:szCs w:val="20"/>
                <w:lang w:val="en-US"/>
              </w:rPr>
            </w:pPr>
            <w:r>
              <w:rPr>
                <w:rFonts w:ascii="Open Sans" w:hAnsi="Open Sans" w:cs="Open Sans"/>
                <w:b/>
                <w:bCs/>
                <w:sz w:val="20"/>
                <w:szCs w:val="20"/>
                <w:lang w:val="en-US"/>
              </w:rPr>
              <w:t>Agree with the close</w:t>
            </w:r>
          </w:p>
          <w:p w14:paraId="6BB4556A" w14:textId="4812F41F" w:rsidR="003921BA" w:rsidRPr="00EB6705" w:rsidRDefault="003921BA" w:rsidP="00EE70DF">
            <w:pPr>
              <w:rPr>
                <w:rFonts w:ascii="Open Sans" w:hAnsi="Open Sans" w:cs="Open Sans"/>
                <w:b/>
                <w:bCs/>
                <w:sz w:val="20"/>
                <w:szCs w:val="20"/>
                <w:lang w:val="en-US"/>
              </w:rPr>
            </w:pPr>
            <w:r>
              <w:rPr>
                <w:rFonts w:ascii="Open Sans" w:hAnsi="Open Sans" w:cs="Open Sans"/>
                <w:b/>
                <w:bCs/>
                <w:sz w:val="20"/>
                <w:szCs w:val="20"/>
                <w:lang w:val="en-US"/>
              </w:rPr>
              <w:t>This is similar to military defense systems inventories when one uses IFRS or IPSAS reporting.</w:t>
            </w: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34DCC8DB" w:rsidR="00EE70DF" w:rsidRPr="00EB6705" w:rsidRDefault="003921BA" w:rsidP="00EE70DF">
            <w:pPr>
              <w:rPr>
                <w:rFonts w:ascii="Open Sans" w:hAnsi="Open Sans" w:cs="Open Sans"/>
                <w:b/>
                <w:bCs/>
                <w:sz w:val="20"/>
                <w:szCs w:val="20"/>
                <w:lang w:val="en-US"/>
              </w:rPr>
            </w:pPr>
            <w:r>
              <w:rPr>
                <w:rFonts w:ascii="Open Sans" w:hAnsi="Open Sans" w:cs="Open Sans"/>
                <w:b/>
                <w:bCs/>
                <w:sz w:val="20"/>
                <w:szCs w:val="20"/>
                <w:lang w:val="en-US"/>
              </w:rPr>
              <w:t>Agreed</w:t>
            </w: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xml:space="preserve">. If so, provide the rationale for any comments </w:t>
            </w:r>
            <w:r>
              <w:rPr>
                <w:rFonts w:ascii="Open Sans" w:hAnsi="Open Sans" w:cs="Open Sans"/>
                <w:sz w:val="20"/>
                <w:szCs w:val="20"/>
              </w:rPr>
              <w:lastRenderedPageBreak/>
              <w:t>and cross reference to the relevant paragraph.</w:t>
            </w:r>
          </w:p>
        </w:tc>
        <w:tc>
          <w:tcPr>
            <w:tcW w:w="1642" w:type="dxa"/>
          </w:tcPr>
          <w:p w14:paraId="4142B9D7"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lastRenderedPageBreak/>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50CE40C0" w:rsidR="00EE70DF" w:rsidRPr="00EB6705" w:rsidRDefault="003921BA" w:rsidP="00EE70DF">
            <w:pPr>
              <w:rPr>
                <w:rFonts w:ascii="Open Sans" w:hAnsi="Open Sans" w:cs="Open Sans"/>
                <w:b/>
                <w:bCs/>
                <w:sz w:val="20"/>
                <w:szCs w:val="20"/>
                <w:lang w:val="en-US"/>
              </w:rPr>
            </w:pPr>
            <w:r>
              <w:rPr>
                <w:rFonts w:ascii="Open Sans" w:hAnsi="Open Sans" w:cs="Open Sans"/>
                <w:b/>
                <w:bCs/>
                <w:sz w:val="20"/>
                <w:szCs w:val="20"/>
                <w:lang w:val="en-US"/>
              </w:rPr>
              <w:t>No further comments</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6BD84C21" w:rsidR="007312A9" w:rsidRPr="00EB6705" w:rsidRDefault="003921BA" w:rsidP="007312A9">
            <w:pPr>
              <w:rPr>
                <w:rFonts w:ascii="Open Sans" w:hAnsi="Open Sans" w:cs="Open Sans"/>
                <w:b/>
                <w:bCs/>
                <w:sz w:val="20"/>
                <w:szCs w:val="20"/>
                <w:lang w:val="en-US"/>
              </w:rPr>
            </w:pPr>
            <w:r>
              <w:rPr>
                <w:rFonts w:ascii="Open Sans" w:hAnsi="Open Sans" w:cs="Open Sans"/>
                <w:b/>
                <w:bCs/>
                <w:sz w:val="20"/>
                <w:szCs w:val="20"/>
                <w:lang w:val="en-US"/>
              </w:rPr>
              <w:t>Agreed</w:t>
            </w: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 xml:space="preserve">If not, provide </w:t>
            </w:r>
            <w:r w:rsidRPr="002C18D0">
              <w:rPr>
                <w:rFonts w:ascii="Open Sans" w:hAnsi="Open Sans" w:cs="Open Sans"/>
                <w:sz w:val="20"/>
                <w:szCs w:val="20"/>
              </w:rPr>
              <w:lastRenderedPageBreak/>
              <w:t>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lastRenderedPageBreak/>
              <w:t>Not applicable</w:t>
            </w:r>
          </w:p>
        </w:tc>
        <w:tc>
          <w:tcPr>
            <w:tcW w:w="8282" w:type="dxa"/>
          </w:tcPr>
          <w:p w14:paraId="6E98B892" w14:textId="77777777" w:rsidR="00563EEE" w:rsidRDefault="003921BA" w:rsidP="00563EEE">
            <w:pPr>
              <w:rPr>
                <w:rFonts w:ascii="Open Sans" w:hAnsi="Open Sans" w:cs="Open Sans"/>
                <w:b/>
                <w:bCs/>
                <w:sz w:val="20"/>
                <w:szCs w:val="20"/>
                <w:lang w:val="en-US"/>
              </w:rPr>
            </w:pPr>
            <w:r>
              <w:rPr>
                <w:rFonts w:ascii="Open Sans" w:hAnsi="Open Sans" w:cs="Open Sans"/>
                <w:b/>
                <w:bCs/>
                <w:sz w:val="20"/>
                <w:szCs w:val="20"/>
                <w:lang w:val="en-US"/>
              </w:rPr>
              <w:t>Agreed</w:t>
            </w:r>
          </w:p>
          <w:p w14:paraId="484AFC46" w14:textId="6980837C" w:rsidR="003921BA" w:rsidRPr="00EB6705" w:rsidRDefault="003921BA" w:rsidP="00563EEE">
            <w:pPr>
              <w:rPr>
                <w:rFonts w:ascii="Open Sans" w:hAnsi="Open Sans" w:cs="Open Sans"/>
                <w:b/>
                <w:bCs/>
                <w:sz w:val="20"/>
                <w:szCs w:val="20"/>
                <w:lang w:val="en-US"/>
              </w:rPr>
            </w:pPr>
            <w:r>
              <w:rPr>
                <w:rFonts w:ascii="Open Sans" w:hAnsi="Open Sans" w:cs="Open Sans"/>
                <w:b/>
                <w:bCs/>
                <w:sz w:val="20"/>
                <w:szCs w:val="20"/>
                <w:lang w:val="en-US"/>
              </w:rPr>
              <w:lastRenderedPageBreak/>
              <w:t xml:space="preserve">Including it will result in a boiler plate type of reporting. It is advisable for NPOs not to included guidance for transactions that are not found in a particular NPO as it distract the user of the financial statement due to information overload. </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01839807" w14:textId="77777777" w:rsidR="00240FA8" w:rsidRDefault="00EB7BEA" w:rsidP="00240FA8">
            <w:pPr>
              <w:rPr>
                <w:rFonts w:ascii="Open Sans" w:hAnsi="Open Sans" w:cs="Open Sans"/>
                <w:b/>
                <w:bCs/>
                <w:sz w:val="20"/>
                <w:szCs w:val="20"/>
                <w:lang w:val="en-US"/>
              </w:rPr>
            </w:pPr>
            <w:r>
              <w:rPr>
                <w:rFonts w:ascii="Open Sans" w:hAnsi="Open Sans" w:cs="Open Sans"/>
                <w:b/>
                <w:bCs/>
                <w:sz w:val="20"/>
                <w:szCs w:val="20"/>
                <w:lang w:val="en-US"/>
              </w:rPr>
              <w:t>Agreed</w:t>
            </w:r>
          </w:p>
          <w:p w14:paraId="654B219E" w14:textId="2C06F8A7" w:rsidR="00EB7BEA" w:rsidRPr="00EB6705" w:rsidRDefault="00EB7BEA" w:rsidP="00240FA8">
            <w:pPr>
              <w:rPr>
                <w:rFonts w:ascii="Open Sans" w:hAnsi="Open Sans" w:cs="Open Sans"/>
                <w:b/>
                <w:bCs/>
                <w:sz w:val="20"/>
                <w:szCs w:val="20"/>
                <w:lang w:val="en-US"/>
              </w:rPr>
            </w:pPr>
            <w:r>
              <w:rPr>
                <w:rFonts w:ascii="Open Sans" w:hAnsi="Open Sans" w:cs="Open Sans"/>
                <w:b/>
                <w:bCs/>
                <w:sz w:val="20"/>
                <w:szCs w:val="20"/>
                <w:lang w:val="en-US"/>
              </w:rPr>
              <w:t>NPOs not established based on shares</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45727E10" w14:textId="42B56C2F" w:rsidR="00240FA8" w:rsidRDefault="00EB7BEA" w:rsidP="00240FA8">
            <w:pPr>
              <w:rPr>
                <w:rFonts w:ascii="Open Sans" w:hAnsi="Open Sans" w:cs="Open Sans"/>
                <w:b/>
                <w:bCs/>
                <w:sz w:val="20"/>
                <w:szCs w:val="20"/>
                <w:lang w:val="en-US"/>
              </w:rPr>
            </w:pPr>
            <w:r>
              <w:rPr>
                <w:rFonts w:ascii="Open Sans" w:hAnsi="Open Sans" w:cs="Open Sans"/>
                <w:b/>
                <w:bCs/>
                <w:sz w:val="20"/>
                <w:szCs w:val="20"/>
                <w:lang w:val="en-US"/>
              </w:rPr>
              <w:t>Agreed</w:t>
            </w:r>
          </w:p>
          <w:p w14:paraId="76A85D8A" w14:textId="5697BE1D" w:rsidR="00EB7BEA" w:rsidRPr="00EB6705" w:rsidRDefault="00EB7BEA" w:rsidP="00240FA8">
            <w:pPr>
              <w:rPr>
                <w:rFonts w:ascii="Open Sans" w:hAnsi="Open Sans" w:cs="Open Sans"/>
                <w:b/>
                <w:bCs/>
                <w:sz w:val="20"/>
                <w:szCs w:val="20"/>
                <w:lang w:val="en-US"/>
              </w:rPr>
            </w:pP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42731871" w:rsidR="0083399D" w:rsidRPr="00EB6705" w:rsidRDefault="00EB7BEA" w:rsidP="0083399D">
            <w:pPr>
              <w:jc w:val="both"/>
              <w:rPr>
                <w:rFonts w:ascii="Open Sans" w:hAnsi="Open Sans" w:cs="Open Sans"/>
                <w:b/>
                <w:bCs/>
                <w:sz w:val="20"/>
                <w:szCs w:val="20"/>
                <w:lang w:val="en-US"/>
              </w:rPr>
            </w:pPr>
            <w:r>
              <w:rPr>
                <w:rFonts w:ascii="Open Sans" w:hAnsi="Open Sans" w:cs="Open Sans"/>
                <w:b/>
                <w:bCs/>
                <w:sz w:val="20"/>
                <w:szCs w:val="20"/>
                <w:lang w:val="en-US"/>
              </w:rPr>
              <w:t>This will depend on the jurisdiction on which the NPO is based. So, all the elements are necessary.</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5AE56495" w14:textId="08B8A92D" w:rsidR="001A2764" w:rsidRDefault="00EB7BEA" w:rsidP="001A2764">
            <w:pPr>
              <w:jc w:val="both"/>
              <w:rPr>
                <w:rFonts w:ascii="Open Sans" w:hAnsi="Open Sans" w:cs="Open Sans"/>
                <w:b/>
                <w:bCs/>
                <w:sz w:val="20"/>
                <w:szCs w:val="20"/>
                <w:lang w:val="nl-NL"/>
              </w:rPr>
            </w:pPr>
            <w:r>
              <w:rPr>
                <w:rFonts w:ascii="Open Sans" w:hAnsi="Open Sans" w:cs="Open Sans"/>
                <w:b/>
                <w:bCs/>
                <w:sz w:val="20"/>
                <w:szCs w:val="20"/>
                <w:lang w:val="nl-NL"/>
              </w:rPr>
              <w:t>Agreed</w:t>
            </w:r>
          </w:p>
          <w:p w14:paraId="6D0D6A90" w14:textId="7BDD61C5" w:rsidR="00EB7BEA" w:rsidRPr="00EB6705" w:rsidRDefault="00EB7BEA" w:rsidP="001A2764">
            <w:pPr>
              <w:jc w:val="both"/>
              <w:rPr>
                <w:rFonts w:ascii="Open Sans" w:hAnsi="Open Sans" w:cs="Open Sans"/>
                <w:b/>
                <w:bCs/>
                <w:sz w:val="20"/>
                <w:szCs w:val="20"/>
                <w:lang w:val="nl-NL"/>
              </w:rPr>
            </w:pP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6F36F9B8" w14:textId="77777777" w:rsidR="001A2764" w:rsidRDefault="00EB7BEA" w:rsidP="001A2764">
            <w:pPr>
              <w:jc w:val="both"/>
              <w:rPr>
                <w:rFonts w:ascii="Open Sans" w:hAnsi="Open Sans" w:cs="Open Sans"/>
                <w:b/>
                <w:bCs/>
                <w:sz w:val="20"/>
                <w:szCs w:val="20"/>
                <w:lang w:val="nl-NL"/>
              </w:rPr>
            </w:pPr>
            <w:r>
              <w:rPr>
                <w:rFonts w:ascii="Open Sans" w:hAnsi="Open Sans" w:cs="Open Sans"/>
                <w:b/>
                <w:bCs/>
                <w:sz w:val="20"/>
                <w:szCs w:val="20"/>
                <w:lang w:val="nl-NL"/>
              </w:rPr>
              <w:t>Agreed</w:t>
            </w:r>
          </w:p>
          <w:p w14:paraId="5CEAE535" w14:textId="433938C0" w:rsidR="00EB7BEA" w:rsidRPr="00EB6705" w:rsidRDefault="00EB7BEA" w:rsidP="001A2764">
            <w:pPr>
              <w:jc w:val="both"/>
              <w:rPr>
                <w:rFonts w:ascii="Open Sans" w:hAnsi="Open Sans" w:cs="Open Sans"/>
                <w:b/>
                <w:bCs/>
                <w:sz w:val="20"/>
                <w:szCs w:val="20"/>
                <w:lang w:val="nl-NL"/>
              </w:rPr>
            </w:pPr>
            <w:r>
              <w:rPr>
                <w:rFonts w:ascii="Open Sans" w:hAnsi="Open Sans" w:cs="Open Sans"/>
                <w:b/>
                <w:bCs/>
                <w:sz w:val="20"/>
                <w:szCs w:val="20"/>
                <w:lang w:val="nl-NL"/>
              </w:rPr>
              <w:t>It enhances transparency and better understanding by the users of the financial statements</w:t>
            </w: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60407766" w:rsidR="001A2764" w:rsidRPr="00EB6705" w:rsidRDefault="00EB7BEA" w:rsidP="001A2764">
            <w:pPr>
              <w:jc w:val="both"/>
              <w:rPr>
                <w:rFonts w:ascii="Open Sans" w:hAnsi="Open Sans" w:cs="Open Sans"/>
                <w:b/>
                <w:bCs/>
                <w:sz w:val="20"/>
                <w:szCs w:val="20"/>
                <w:lang w:val="nl-NL"/>
              </w:rPr>
            </w:pPr>
            <w:r>
              <w:rPr>
                <w:rFonts w:ascii="Open Sans" w:hAnsi="Open Sans" w:cs="Open Sans"/>
                <w:b/>
                <w:bCs/>
                <w:sz w:val="20"/>
                <w:szCs w:val="20"/>
                <w:lang w:val="nl-NL"/>
              </w:rPr>
              <w:t>Agreed</w:t>
            </w: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31A651BC" w:rsidR="001A2764" w:rsidRPr="00EB6705" w:rsidRDefault="00EB7BEA" w:rsidP="001A2764">
            <w:pPr>
              <w:jc w:val="both"/>
              <w:rPr>
                <w:rFonts w:ascii="Open Sans" w:hAnsi="Open Sans" w:cs="Open Sans"/>
                <w:b/>
                <w:bCs/>
                <w:sz w:val="20"/>
                <w:szCs w:val="20"/>
                <w:lang w:val="nl-NL"/>
              </w:rPr>
            </w:pPr>
            <w:r>
              <w:rPr>
                <w:rFonts w:ascii="Open Sans" w:hAnsi="Open Sans" w:cs="Open Sans"/>
                <w:b/>
                <w:bCs/>
                <w:sz w:val="20"/>
                <w:szCs w:val="20"/>
                <w:lang w:val="nl-NL"/>
              </w:rPr>
              <w:t>No further comments</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5F314CD8" w:rsidR="009A5B0D" w:rsidRPr="00EB6705" w:rsidRDefault="00632893" w:rsidP="009A5B0D">
            <w:pPr>
              <w:jc w:val="both"/>
              <w:rPr>
                <w:rFonts w:ascii="Open Sans" w:hAnsi="Open Sans" w:cs="Open Sans"/>
                <w:b/>
                <w:bCs/>
                <w:sz w:val="20"/>
                <w:szCs w:val="20"/>
                <w:lang w:val="en-US"/>
              </w:rPr>
            </w:pPr>
            <w:r>
              <w:rPr>
                <w:rFonts w:ascii="Open Sans" w:hAnsi="Open Sans" w:cs="Open Sans"/>
                <w:b/>
                <w:bCs/>
                <w:sz w:val="20"/>
                <w:szCs w:val="20"/>
                <w:lang w:val="en-US"/>
              </w:rPr>
              <w:t>Agreed</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70700721" w14:textId="5015D903" w:rsidR="00B83B74" w:rsidRDefault="00632893" w:rsidP="00B83B74">
            <w:pPr>
              <w:rPr>
                <w:rFonts w:ascii="Open Sans" w:hAnsi="Open Sans" w:cs="Open Sans"/>
                <w:b/>
                <w:bCs/>
                <w:sz w:val="20"/>
                <w:szCs w:val="20"/>
                <w:lang w:val="en-US"/>
              </w:rPr>
            </w:pPr>
            <w:r>
              <w:rPr>
                <w:rFonts w:ascii="Open Sans" w:hAnsi="Open Sans" w:cs="Open Sans"/>
                <w:b/>
                <w:bCs/>
                <w:sz w:val="20"/>
                <w:szCs w:val="20"/>
                <w:lang w:val="en-US"/>
              </w:rPr>
              <w:t>Agreed</w:t>
            </w:r>
          </w:p>
          <w:p w14:paraId="284A6BB2" w14:textId="21BAA6B1" w:rsidR="00632893" w:rsidRPr="00EB6705" w:rsidRDefault="00632893" w:rsidP="00B83B74">
            <w:pPr>
              <w:rPr>
                <w:rFonts w:ascii="Open Sans" w:hAnsi="Open Sans" w:cs="Open Sans"/>
                <w:b/>
                <w:bCs/>
                <w:sz w:val="20"/>
                <w:szCs w:val="20"/>
                <w:lang w:val="en-US"/>
              </w:rPr>
            </w:pP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lastRenderedPageBreak/>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t xml:space="preserve">When providing additional feedback please reference the paragraph numbers, where possible and provide a short explanation to support your comments. </w:t>
            </w:r>
          </w:p>
        </w:tc>
        <w:tc>
          <w:tcPr>
            <w:tcW w:w="9922" w:type="dxa"/>
          </w:tcPr>
          <w:p w14:paraId="6DCE25B2" w14:textId="77777777" w:rsidR="00A55295" w:rsidRDefault="00632893" w:rsidP="009F74AC">
            <w:pPr>
              <w:rPr>
                <w:rFonts w:ascii="Open Sans" w:hAnsi="Open Sans" w:cs="Open Sans"/>
                <w:b/>
                <w:bCs/>
                <w:sz w:val="20"/>
                <w:szCs w:val="20"/>
                <w:lang w:val="en-US"/>
              </w:rPr>
            </w:pPr>
            <w:r>
              <w:rPr>
                <w:rFonts w:ascii="Open Sans" w:hAnsi="Open Sans" w:cs="Open Sans"/>
                <w:b/>
                <w:bCs/>
                <w:sz w:val="20"/>
                <w:szCs w:val="20"/>
                <w:lang w:val="en-US"/>
              </w:rPr>
              <w:t>No further comments</w:t>
            </w:r>
          </w:p>
          <w:p w14:paraId="67E8759F" w14:textId="32C94085" w:rsidR="00F17AC9" w:rsidRDefault="00F17AC9" w:rsidP="009F74AC">
            <w:pPr>
              <w:rPr>
                <w:rFonts w:ascii="Open Sans" w:hAnsi="Open Sans" w:cs="Open Sans"/>
                <w:b/>
                <w:bCs/>
                <w:sz w:val="20"/>
                <w:szCs w:val="20"/>
                <w:lang w:val="en-US"/>
              </w:rPr>
            </w:pPr>
            <w:r>
              <w:rPr>
                <w:rFonts w:ascii="Open Sans" w:hAnsi="Open Sans" w:cs="Open Sans"/>
                <w:b/>
                <w:bCs/>
                <w:sz w:val="20"/>
                <w:szCs w:val="20"/>
                <w:lang w:val="en-US"/>
              </w:rPr>
              <w:t>The INPAG will be a living document that will be reviewed inline with current developments but it will need to be implemented for us to get the meaningful feedback</w:t>
            </w: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A7789F">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FFCF" w14:textId="77777777" w:rsidR="00355324" w:rsidRDefault="00355324" w:rsidP="009F74AC">
      <w:pPr>
        <w:spacing w:after="0" w:line="240" w:lineRule="auto"/>
      </w:pPr>
      <w:r>
        <w:separator/>
      </w:r>
    </w:p>
  </w:endnote>
  <w:endnote w:type="continuationSeparator" w:id="0">
    <w:p w14:paraId="14C16F26" w14:textId="77777777" w:rsidR="00355324" w:rsidRDefault="00355324" w:rsidP="009F74AC">
      <w:pPr>
        <w:spacing w:after="0" w:line="240" w:lineRule="auto"/>
      </w:pPr>
      <w:r>
        <w:continuationSeparator/>
      </w:r>
    </w:p>
  </w:endnote>
  <w:endnote w:type="continuationNotice" w:id="1">
    <w:p w14:paraId="18D7F569" w14:textId="77777777" w:rsidR="00355324" w:rsidRDefault="003553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D3C2A" w14:textId="77777777" w:rsidR="00355324" w:rsidRDefault="00355324" w:rsidP="009F74AC">
      <w:pPr>
        <w:spacing w:after="0" w:line="240" w:lineRule="auto"/>
      </w:pPr>
      <w:r>
        <w:separator/>
      </w:r>
    </w:p>
  </w:footnote>
  <w:footnote w:type="continuationSeparator" w:id="0">
    <w:p w14:paraId="427374C6" w14:textId="77777777" w:rsidR="00355324" w:rsidRDefault="00355324" w:rsidP="009F74AC">
      <w:pPr>
        <w:spacing w:after="0" w:line="240" w:lineRule="auto"/>
      </w:pPr>
      <w:r>
        <w:continuationSeparator/>
      </w:r>
    </w:p>
  </w:footnote>
  <w:footnote w:type="continuationNotice" w:id="1">
    <w:p w14:paraId="3F45B4FF" w14:textId="77777777" w:rsidR="00355324" w:rsidRDefault="00355324">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06A43"/>
    <w:rsid w:val="00210458"/>
    <w:rsid w:val="0021413D"/>
    <w:rsid w:val="0021502E"/>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20F61"/>
    <w:rsid w:val="00326516"/>
    <w:rsid w:val="003325FA"/>
    <w:rsid w:val="00336705"/>
    <w:rsid w:val="003403BD"/>
    <w:rsid w:val="0035010D"/>
    <w:rsid w:val="00354A3A"/>
    <w:rsid w:val="00355324"/>
    <w:rsid w:val="00365B54"/>
    <w:rsid w:val="003745FB"/>
    <w:rsid w:val="00374B59"/>
    <w:rsid w:val="003755E7"/>
    <w:rsid w:val="003921BA"/>
    <w:rsid w:val="003939BC"/>
    <w:rsid w:val="003A0428"/>
    <w:rsid w:val="003A1EEF"/>
    <w:rsid w:val="003B33EC"/>
    <w:rsid w:val="003C392D"/>
    <w:rsid w:val="003C7B7A"/>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7AC9"/>
    <w:rsid w:val="005A5896"/>
    <w:rsid w:val="005A718A"/>
    <w:rsid w:val="005B3F30"/>
    <w:rsid w:val="005B6CC3"/>
    <w:rsid w:val="005C792B"/>
    <w:rsid w:val="005D2FF0"/>
    <w:rsid w:val="005E6190"/>
    <w:rsid w:val="005F18AF"/>
    <w:rsid w:val="005F2F75"/>
    <w:rsid w:val="005F6717"/>
    <w:rsid w:val="00611507"/>
    <w:rsid w:val="00623B8E"/>
    <w:rsid w:val="00624486"/>
    <w:rsid w:val="00632893"/>
    <w:rsid w:val="006463FF"/>
    <w:rsid w:val="00651710"/>
    <w:rsid w:val="00661242"/>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6D53"/>
    <w:rsid w:val="0088436D"/>
    <w:rsid w:val="008A1B93"/>
    <w:rsid w:val="008A350D"/>
    <w:rsid w:val="008C6B40"/>
    <w:rsid w:val="008C7009"/>
    <w:rsid w:val="008C76B2"/>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5E58"/>
    <w:rsid w:val="00A17864"/>
    <w:rsid w:val="00A22952"/>
    <w:rsid w:val="00A276B0"/>
    <w:rsid w:val="00A3014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12DE"/>
    <w:rsid w:val="00AB5BDD"/>
    <w:rsid w:val="00AC4F2A"/>
    <w:rsid w:val="00AC6610"/>
    <w:rsid w:val="00AD01FF"/>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7B55"/>
    <w:rsid w:val="00EA0B23"/>
    <w:rsid w:val="00EA2E09"/>
    <w:rsid w:val="00EA3878"/>
    <w:rsid w:val="00EB6705"/>
    <w:rsid w:val="00EB7BEA"/>
    <w:rsid w:val="00EC26EB"/>
    <w:rsid w:val="00EC342C"/>
    <w:rsid w:val="00EE70DF"/>
    <w:rsid w:val="00EE7BF3"/>
    <w:rsid w:val="00EF069E"/>
    <w:rsid w:val="00EF110B"/>
    <w:rsid w:val="00F02B1E"/>
    <w:rsid w:val="00F10448"/>
    <w:rsid w:val="00F14452"/>
    <w:rsid w:val="00F17AC9"/>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3200</Words>
  <Characters>18242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George Mahembe</cp:lastModifiedBy>
  <cp:revision>3</cp:revision>
  <dcterms:created xsi:type="dcterms:W3CDTF">2023-11-17T12:45:00Z</dcterms:created>
  <dcterms:modified xsi:type="dcterms:W3CDTF">2023-11-17T14:22:00Z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