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7C657B33" w:rsidR="00F6667F" w:rsidRPr="00EB6705" w:rsidRDefault="00A770F0">
            <w:pPr>
              <w:rPr>
                <w:rFonts w:ascii="Open Sans" w:hAnsi="Open Sans" w:cs="Open Sans"/>
                <w:sz w:val="20"/>
                <w:szCs w:val="20"/>
              </w:rPr>
            </w:pPr>
            <w:r w:rsidRPr="00EB6705">
              <w:rPr>
                <w:rFonts w:ascii="Open Sans" w:hAnsi="Open Sans" w:cs="Open Sans"/>
                <w:sz w:val="20"/>
                <w:szCs w:val="20"/>
              </w:rPr>
              <w:t>[free format]</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338429D1" w:rsidR="00F6667F" w:rsidRPr="00EB6705" w:rsidRDefault="00A97EFD">
            <w:pPr>
              <w:rPr>
                <w:rFonts w:ascii="Open Sans" w:hAnsi="Open Sans" w:cs="Open Sans"/>
                <w:sz w:val="20"/>
                <w:szCs w:val="20"/>
              </w:rPr>
            </w:pPr>
            <w:r w:rsidRPr="00EB6705">
              <w:rPr>
                <w:rFonts w:ascii="Open Sans" w:hAnsi="Open Sans" w:cs="Open Sans"/>
                <w:sz w:val="20"/>
                <w:szCs w:val="20"/>
              </w:rPr>
              <w:t>[free format]</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1F1F3293" w:rsidR="00DB7739" w:rsidRPr="00EB6705" w:rsidRDefault="00DB7739">
            <w:pPr>
              <w:rPr>
                <w:rFonts w:ascii="Open Sans" w:hAnsi="Open Sans" w:cs="Open Sans"/>
                <w:sz w:val="20"/>
                <w:szCs w:val="20"/>
              </w:rPr>
            </w:pPr>
            <w:r>
              <w:rPr>
                <w:rFonts w:ascii="Open Sans" w:hAnsi="Open Sans" w:cs="Open Sans"/>
                <w:sz w:val="20"/>
                <w:szCs w:val="20"/>
              </w:rPr>
              <w:t>[free format]</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216F36BC" w:rsidR="00DB7739" w:rsidRPr="00EB6705" w:rsidRDefault="00DB7739">
            <w:pPr>
              <w:rPr>
                <w:rFonts w:ascii="Open Sans" w:hAnsi="Open Sans" w:cs="Open Sans"/>
                <w:sz w:val="20"/>
                <w:szCs w:val="20"/>
              </w:rPr>
            </w:pPr>
            <w:r w:rsidRPr="00EB6705">
              <w:rPr>
                <w:rFonts w:ascii="Open Sans" w:hAnsi="Open Sans" w:cs="Open Sans"/>
                <w:sz w:val="20"/>
                <w:szCs w:val="20"/>
              </w:rPr>
              <w:t>[</w:t>
            </w:r>
            <w:r>
              <w:rPr>
                <w:rFonts w:ascii="Open Sans" w:hAnsi="Open Sans" w:cs="Open Sans"/>
                <w:sz w:val="20"/>
                <w:szCs w:val="20"/>
              </w:rPr>
              <w:t>choose</w:t>
            </w:r>
            <w:r w:rsidR="008C7009">
              <w:rPr>
                <w:rFonts w:ascii="Open Sans" w:hAnsi="Open Sans" w:cs="Open Sans"/>
                <w:sz w:val="20"/>
                <w:szCs w:val="20"/>
              </w:rPr>
              <w:t xml:space="preserve"> one</w:t>
            </w:r>
            <w:r w:rsidRPr="00EB6705">
              <w:rPr>
                <w:rFonts w:ascii="Open Sans" w:hAnsi="Open Sans" w:cs="Open Sans"/>
                <w:sz w:val="20"/>
                <w:szCs w:val="20"/>
              </w:rPr>
              <w:t>]</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7C3C90EE" w:rsidR="000C4E37" w:rsidRDefault="000C4E37" w:rsidP="000C4E37">
            <w:pPr>
              <w:rPr>
                <w:rFonts w:ascii="Open Sans" w:hAnsi="Open Sans" w:cs="Open Sans"/>
                <w:sz w:val="20"/>
                <w:szCs w:val="20"/>
              </w:rPr>
            </w:pPr>
            <w:r w:rsidRPr="00EB6705">
              <w:rPr>
                <w:rFonts w:ascii="Open Sans" w:hAnsi="Open Sans" w:cs="Open Sans"/>
                <w:sz w:val="20"/>
                <w:szCs w:val="20"/>
              </w:rPr>
              <w:t>[free format]</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6501938B" w:rsidR="000C4E37" w:rsidRPr="00EB6705" w:rsidRDefault="000C4E37" w:rsidP="000C4E37">
            <w:pPr>
              <w:rPr>
                <w:rFonts w:ascii="Open Sans" w:hAnsi="Open Sans" w:cs="Open Sans"/>
                <w:sz w:val="20"/>
                <w:szCs w:val="20"/>
              </w:rPr>
            </w:pPr>
            <w:r w:rsidRPr="00EB6705">
              <w:rPr>
                <w:rFonts w:ascii="Open Sans" w:hAnsi="Open Sans" w:cs="Open Sans"/>
                <w:sz w:val="20"/>
                <w:szCs w:val="20"/>
              </w:rPr>
              <w:t>[free format]</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3EA652F7" w:rsidR="000C4E37" w:rsidRPr="00EB6705" w:rsidRDefault="000C4E37" w:rsidP="000C4E37">
            <w:pPr>
              <w:rPr>
                <w:rFonts w:ascii="Open Sans" w:hAnsi="Open Sans" w:cs="Open Sans"/>
                <w:sz w:val="20"/>
                <w:szCs w:val="20"/>
              </w:rPr>
            </w:pPr>
            <w:r>
              <w:rPr>
                <w:rFonts w:ascii="Open Sans" w:hAnsi="Open Sans" w:cs="Open Sans"/>
                <w:sz w:val="20"/>
                <w:szCs w:val="20"/>
              </w:rPr>
              <w:t>[free format]</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ie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41D18BB6" w:rsidR="000C4E37" w:rsidRPr="00EB6705" w:rsidRDefault="000C4E37" w:rsidP="000C4E37">
            <w:pPr>
              <w:rPr>
                <w:rFonts w:ascii="Open Sans" w:hAnsi="Open Sans" w:cs="Open Sans"/>
                <w:sz w:val="20"/>
                <w:szCs w:val="20"/>
              </w:rPr>
            </w:pPr>
            <w:r>
              <w:rPr>
                <w:rFonts w:ascii="Open Sans" w:hAnsi="Open Sans" w:cs="Open Sans"/>
                <w:sz w:val="20"/>
                <w:szCs w:val="20"/>
              </w:rPr>
              <w:t>[free format]</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2CE99BEE"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77777777" w:rsidR="00A7789F" w:rsidRPr="00EB6705" w:rsidRDefault="00A7789F" w:rsidP="00A959C4">
            <w:pPr>
              <w:jc w:val="both"/>
              <w:rPr>
                <w:rFonts w:ascii="Open Sans" w:hAnsi="Open Sans" w:cs="Open Sans"/>
                <w:b/>
                <w:bCs/>
                <w:sz w:val="20"/>
                <w:szCs w:val="20"/>
                <w:lang w:val="en-US"/>
              </w:rPr>
            </w:pP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77777777" w:rsidR="00FE20EA" w:rsidRPr="00D90216" w:rsidRDefault="00FE20EA" w:rsidP="00D90216">
            <w:pPr>
              <w:spacing w:before="120" w:after="120"/>
              <w:rPr>
                <w:rFonts w:ascii="Open Sans" w:hAnsi="Open Sans" w:cs="Open Sans"/>
                <w:b/>
                <w:bCs/>
                <w:sz w:val="20"/>
                <w:szCs w:val="20"/>
                <w:lang w:val="en-US"/>
              </w:rPr>
            </w:pP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77777777" w:rsidR="00A7789F" w:rsidRPr="00EB6705" w:rsidRDefault="00A7789F" w:rsidP="005476F2">
            <w:pPr>
              <w:spacing w:before="120" w:after="120"/>
              <w:rPr>
                <w:rFonts w:ascii="Open Sans" w:hAnsi="Open Sans" w:cs="Open Sans"/>
                <w:b/>
                <w:bCs/>
                <w:sz w:val="20"/>
                <w:szCs w:val="20"/>
                <w:lang w:val="en-US"/>
              </w:rPr>
            </w:pP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77777777" w:rsidR="00D61337" w:rsidRPr="00EB6705" w:rsidRDefault="00D61337" w:rsidP="005476F2">
            <w:pPr>
              <w:spacing w:before="120" w:after="120"/>
              <w:rPr>
                <w:rFonts w:ascii="Open Sans" w:hAnsi="Open Sans" w:cs="Open Sans"/>
                <w:b/>
                <w:bCs/>
                <w:sz w:val="20"/>
                <w:szCs w:val="20"/>
                <w:lang w:val="en-US"/>
              </w:rPr>
            </w:pP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77777777" w:rsidR="00D61337" w:rsidRPr="00EB6705" w:rsidRDefault="00D61337" w:rsidP="005476F2">
            <w:pPr>
              <w:spacing w:before="120" w:after="120"/>
              <w:rPr>
                <w:rFonts w:ascii="Open Sans" w:hAnsi="Open Sans" w:cs="Open Sans"/>
                <w:b/>
                <w:bCs/>
                <w:sz w:val="20"/>
                <w:szCs w:val="20"/>
                <w:lang w:val="en-US"/>
              </w:rPr>
            </w:pP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lastRenderedPageBreak/>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77777777" w:rsidR="00D61337" w:rsidRPr="00EB6705" w:rsidRDefault="00D61337" w:rsidP="005476F2">
            <w:pPr>
              <w:spacing w:before="120" w:after="120"/>
              <w:rPr>
                <w:rFonts w:ascii="Open Sans" w:hAnsi="Open Sans" w:cs="Open Sans"/>
                <w:b/>
                <w:bCs/>
                <w:sz w:val="20"/>
                <w:szCs w:val="20"/>
                <w:lang w:val="en-US"/>
              </w:rPr>
            </w:pP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77777777" w:rsidR="00FE20EA" w:rsidRPr="00EB6705" w:rsidRDefault="00FE20EA" w:rsidP="00E36F6E">
            <w:pPr>
              <w:rPr>
                <w:rFonts w:ascii="Open Sans" w:hAnsi="Open Sans" w:cs="Open Sans"/>
                <w:b/>
                <w:bCs/>
                <w:sz w:val="20"/>
                <w:szCs w:val="20"/>
                <w:lang w:val="en-US"/>
              </w:rPr>
            </w:pP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5 step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provides</w:t>
            </w:r>
            <w:r w:rsidRPr="0072594C">
              <w:rPr>
                <w:rFonts w:ascii="Open Sans" w:hAnsi="Open Sans" w:cs="Open Sans"/>
                <w:color w:val="000000" w:themeColor="text1"/>
                <w:sz w:val="20"/>
                <w:szCs w:val="20"/>
              </w:rPr>
              <w:t xml:space="preserve">  It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 xml:space="preserve">If not, what alternative terms would you propose to achieve the </w:t>
            </w:r>
            <w:r w:rsidRPr="00455BD0">
              <w:rPr>
                <w:rFonts w:ascii="Open Sans" w:hAnsi="Open Sans" w:cs="Open Sans"/>
                <w:sz w:val="20"/>
                <w:szCs w:val="20"/>
              </w:rPr>
              <w:lastRenderedPageBreak/>
              <w:t>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1501A078" w14:textId="77777777" w:rsidR="0054631C" w:rsidRPr="00EB6705" w:rsidRDefault="0054631C" w:rsidP="00FE20EA">
            <w:pPr>
              <w:rPr>
                <w:rFonts w:ascii="Open Sans" w:hAnsi="Open Sans" w:cs="Open Sans"/>
                <w:b/>
                <w:bCs/>
                <w:sz w:val="20"/>
                <w:szCs w:val="20"/>
                <w:lang w:val="en-US"/>
              </w:rPr>
            </w:pP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7777777" w:rsidR="0054631C" w:rsidRPr="00EB6705" w:rsidRDefault="0054631C" w:rsidP="00FE20EA">
            <w:pPr>
              <w:rPr>
                <w:rFonts w:ascii="Open Sans" w:hAnsi="Open Sans" w:cs="Open Sans"/>
                <w:b/>
                <w:bCs/>
                <w:sz w:val="20"/>
                <w:szCs w:val="20"/>
                <w:lang w:val="en-US"/>
              </w:rPr>
            </w:pP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77777777" w:rsidR="00FE20EA" w:rsidRPr="00EB6705" w:rsidRDefault="00FE20EA" w:rsidP="00FE20EA">
            <w:pPr>
              <w:rPr>
                <w:rFonts w:ascii="Open Sans" w:hAnsi="Open Sans" w:cs="Open Sans"/>
                <w:b/>
                <w:bCs/>
                <w:sz w:val="20"/>
                <w:szCs w:val="20"/>
                <w:lang w:val="en-US"/>
              </w:rPr>
            </w:pP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 xml:space="preserve">Do you agree with the allocation methods identified? If not, what </w:t>
            </w:r>
            <w:r w:rsidRPr="0037551B">
              <w:rPr>
                <w:rFonts w:ascii="Open Sans" w:hAnsi="Open Sans" w:cs="Open Sans"/>
                <w:sz w:val="20"/>
                <w:szCs w:val="20"/>
              </w:rPr>
              <w:lastRenderedPageBreak/>
              <w:t>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lastRenderedPageBreak/>
              <w:t>G23.53-G23.56, G23.125-G23.138, AG23.52-AG23.59</w:t>
            </w:r>
          </w:p>
        </w:tc>
        <w:tc>
          <w:tcPr>
            <w:tcW w:w="8282" w:type="dxa"/>
          </w:tcPr>
          <w:p w14:paraId="0C700B35" w14:textId="77777777" w:rsidR="00EF069E" w:rsidRPr="00EB6705" w:rsidRDefault="00EF069E" w:rsidP="00FE20EA">
            <w:pPr>
              <w:rPr>
                <w:rFonts w:ascii="Open Sans" w:hAnsi="Open Sans" w:cs="Open Sans"/>
                <w:b/>
                <w:bCs/>
                <w:sz w:val="20"/>
                <w:szCs w:val="20"/>
                <w:lang w:val="en-US"/>
              </w:rPr>
            </w:pP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77777777" w:rsidR="00B62A32" w:rsidRPr="00EB6705" w:rsidRDefault="00B62A32" w:rsidP="00B62A32">
            <w:pPr>
              <w:rPr>
                <w:rFonts w:ascii="Open Sans" w:hAnsi="Open Sans" w:cs="Open Sans"/>
                <w:b/>
                <w:bCs/>
                <w:sz w:val="20"/>
                <w:szCs w:val="20"/>
                <w:lang w:val="en-US"/>
              </w:rPr>
            </w:pP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77777777" w:rsidR="00B62A32" w:rsidRPr="00EB6705" w:rsidRDefault="00B62A32" w:rsidP="00B62A32">
            <w:pPr>
              <w:rPr>
                <w:rFonts w:ascii="Open Sans" w:hAnsi="Open Sans" w:cs="Open Sans"/>
                <w:b/>
                <w:bCs/>
                <w:sz w:val="20"/>
                <w:szCs w:val="20"/>
                <w:lang w:val="en-US"/>
              </w:rPr>
            </w:pP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77777777" w:rsidR="00B62A32" w:rsidRPr="00EB6705" w:rsidRDefault="00B62A32" w:rsidP="00B62A32">
            <w:pPr>
              <w:rPr>
                <w:rFonts w:ascii="Open Sans" w:hAnsi="Open Sans" w:cs="Open Sans"/>
                <w:b/>
                <w:bCs/>
                <w:sz w:val="20"/>
                <w:szCs w:val="20"/>
                <w:lang w:val="en-US"/>
              </w:rPr>
            </w:pP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administrative tasks are generally not separate individually enforceable obligations, but a means to identify or report on resources in an </w:t>
            </w:r>
            <w:r w:rsidRPr="00455BD0">
              <w:rPr>
                <w:rFonts w:ascii="Open Sans" w:hAnsi="Open Sans" w:cs="Open Sans"/>
                <w:sz w:val="20"/>
                <w:szCs w:val="20"/>
              </w:rPr>
              <w:lastRenderedPageBreak/>
              <w:t>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G23.49</w:t>
            </w:r>
          </w:p>
        </w:tc>
        <w:tc>
          <w:tcPr>
            <w:tcW w:w="8282" w:type="dxa"/>
          </w:tcPr>
          <w:p w14:paraId="7D4C19D5" w14:textId="77777777" w:rsidR="00B62A32" w:rsidRPr="00EB6705" w:rsidRDefault="00B62A32" w:rsidP="00B62A32">
            <w:pPr>
              <w:rPr>
                <w:rFonts w:ascii="Open Sans" w:hAnsi="Open Sans" w:cs="Open Sans"/>
                <w:b/>
                <w:bCs/>
                <w:sz w:val="20"/>
                <w:szCs w:val="20"/>
                <w:lang w:val="en-US"/>
              </w:rPr>
            </w:pP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77777777" w:rsidR="00B62A32" w:rsidRPr="00EB6705" w:rsidRDefault="00B62A32" w:rsidP="00B62A32">
            <w:pPr>
              <w:rPr>
                <w:rFonts w:ascii="Open Sans" w:hAnsi="Open Sans" w:cs="Open Sans"/>
                <w:b/>
                <w:bCs/>
                <w:sz w:val="20"/>
                <w:szCs w:val="20"/>
                <w:lang w:val="en-US"/>
              </w:rPr>
            </w:pP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77777777" w:rsidR="00B62A32" w:rsidRPr="00EB6705" w:rsidRDefault="00B62A32" w:rsidP="00B62A32">
            <w:pPr>
              <w:rPr>
                <w:rFonts w:ascii="Open Sans" w:hAnsi="Open Sans" w:cs="Open Sans"/>
                <w:b/>
                <w:bCs/>
                <w:sz w:val="20"/>
                <w:szCs w:val="20"/>
                <w:lang w:val="en-US"/>
              </w:rPr>
            </w:pP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23, including whether the full content of the IFRS for SMEs section on revenue from contracts </w:t>
            </w:r>
            <w:r>
              <w:rPr>
                <w:rFonts w:ascii="Open Sans" w:hAnsi="Open Sans" w:cs="Open Sans"/>
                <w:sz w:val="20"/>
                <w:szCs w:val="20"/>
              </w:rPr>
              <w:lastRenderedPageBreak/>
              <w:t>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77777777" w:rsidR="00B62A32" w:rsidRPr="00EB6705" w:rsidRDefault="00B62A32" w:rsidP="00B62A32">
            <w:pPr>
              <w:rPr>
                <w:rFonts w:ascii="Open Sans" w:hAnsi="Open Sans" w:cs="Open Sans"/>
                <w:b/>
                <w:bCs/>
                <w:sz w:val="20"/>
                <w:szCs w:val="20"/>
                <w:lang w:val="en-US"/>
              </w:rPr>
            </w:pP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77777777" w:rsidR="00EE70DF" w:rsidRPr="00EB6705" w:rsidRDefault="00EE70DF" w:rsidP="00EE70DF">
            <w:pPr>
              <w:rPr>
                <w:rFonts w:ascii="Open Sans" w:hAnsi="Open Sans" w:cs="Open Sans"/>
                <w:b/>
                <w:bCs/>
                <w:sz w:val="20"/>
                <w:szCs w:val="20"/>
                <w:lang w:val="en-US"/>
              </w:rPr>
            </w:pP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r w:rsidRPr="00455BD0">
              <w:rPr>
                <w:rFonts w:ascii="Open Sans" w:hAnsi="Open Sans" w:cs="Open Sans"/>
                <w:sz w:val="20"/>
                <w:szCs w:val="20"/>
              </w:rPr>
              <w:t>a</w:t>
            </w:r>
            <w:r>
              <w:rPr>
                <w:rFonts w:ascii="Open Sans" w:hAnsi="Open Sans" w:cs="Open Sans"/>
                <w:sz w:val="20"/>
                <w:szCs w:val="20"/>
              </w:rPr>
              <w:t>n other</w:t>
            </w:r>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77777777" w:rsidR="00EE70DF" w:rsidRPr="00EB6705" w:rsidRDefault="00EE70DF" w:rsidP="00EE70DF">
            <w:pPr>
              <w:rPr>
                <w:rFonts w:ascii="Open Sans" w:hAnsi="Open Sans" w:cs="Open Sans"/>
                <w:b/>
                <w:bCs/>
                <w:sz w:val="20"/>
                <w:szCs w:val="20"/>
                <w:lang w:val="en-US"/>
              </w:rPr>
            </w:pP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77777777" w:rsidR="00EE70DF" w:rsidRPr="00EB6705" w:rsidRDefault="00EE70DF" w:rsidP="00EE70DF">
            <w:pPr>
              <w:rPr>
                <w:rFonts w:ascii="Open Sans" w:hAnsi="Open Sans" w:cs="Open Sans"/>
                <w:b/>
                <w:bCs/>
                <w:sz w:val="20"/>
                <w:szCs w:val="20"/>
                <w:lang w:val="en-US"/>
              </w:rPr>
            </w:pP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77777777" w:rsidR="00EE70DF" w:rsidRPr="00EB6705" w:rsidRDefault="00EE70DF" w:rsidP="00EE70DF">
            <w:pPr>
              <w:rPr>
                <w:rFonts w:ascii="Open Sans" w:hAnsi="Open Sans" w:cs="Open Sans"/>
                <w:b/>
                <w:bCs/>
                <w:sz w:val="20"/>
                <w:szCs w:val="20"/>
                <w:lang w:val="en-US"/>
              </w:rPr>
            </w:pP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77777777" w:rsidR="00EE70DF" w:rsidRPr="00EB6705" w:rsidRDefault="00EE70DF" w:rsidP="00EE70DF">
            <w:pPr>
              <w:rPr>
                <w:rFonts w:ascii="Open Sans" w:hAnsi="Open Sans" w:cs="Open Sans"/>
                <w:b/>
                <w:bCs/>
                <w:sz w:val="20"/>
                <w:szCs w:val="20"/>
                <w:lang w:val="en-US"/>
              </w:rPr>
            </w:pP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77777777" w:rsidR="00EE70DF" w:rsidRPr="00EB6705" w:rsidRDefault="00EE70DF" w:rsidP="00EE70DF">
            <w:pPr>
              <w:rPr>
                <w:rFonts w:ascii="Open Sans" w:hAnsi="Open Sans" w:cs="Open Sans"/>
                <w:b/>
                <w:bCs/>
                <w:sz w:val="20"/>
                <w:szCs w:val="20"/>
                <w:lang w:val="en-US"/>
              </w:rPr>
            </w:pP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77777777" w:rsidR="00EE70DF" w:rsidRPr="00EB6705" w:rsidRDefault="00EE70DF" w:rsidP="00EE70DF">
            <w:pPr>
              <w:rPr>
                <w:rFonts w:ascii="Open Sans" w:hAnsi="Open Sans" w:cs="Open Sans"/>
                <w:b/>
                <w:bCs/>
                <w:sz w:val="20"/>
                <w:szCs w:val="20"/>
                <w:lang w:val="en-US"/>
              </w:rPr>
            </w:pP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xml:space="preserve">. If so, provide the rationale for any comments </w:t>
            </w:r>
            <w:r>
              <w:rPr>
                <w:rFonts w:ascii="Open Sans" w:hAnsi="Open Sans" w:cs="Open Sans"/>
                <w:sz w:val="20"/>
                <w:szCs w:val="20"/>
              </w:rPr>
              <w:lastRenderedPageBreak/>
              <w:t>and cross reference to the relevant paragraph.</w:t>
            </w:r>
          </w:p>
        </w:tc>
        <w:tc>
          <w:tcPr>
            <w:tcW w:w="1642" w:type="dxa"/>
          </w:tcPr>
          <w:p w14:paraId="4142B9D7"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lastRenderedPageBreak/>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77777777" w:rsidR="00EE70DF" w:rsidRPr="00EB6705" w:rsidRDefault="00EE70DF" w:rsidP="00EE70DF">
            <w:pPr>
              <w:rPr>
                <w:rFonts w:ascii="Open Sans" w:hAnsi="Open Sans" w:cs="Open Sans"/>
                <w:b/>
                <w:bCs/>
                <w:sz w:val="20"/>
                <w:szCs w:val="20"/>
                <w:lang w:val="en-US"/>
              </w:rPr>
            </w:pP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77777777" w:rsidR="007312A9" w:rsidRPr="00EB6705" w:rsidRDefault="007312A9" w:rsidP="007312A9">
            <w:pPr>
              <w:rPr>
                <w:rFonts w:ascii="Open Sans" w:hAnsi="Open Sans" w:cs="Open Sans"/>
                <w:b/>
                <w:bCs/>
                <w:sz w:val="20"/>
                <w:szCs w:val="20"/>
                <w:lang w:val="en-US"/>
              </w:rPr>
            </w:pP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 xml:space="preserve">If not, provide </w:t>
            </w:r>
            <w:r w:rsidRPr="002C18D0">
              <w:rPr>
                <w:rFonts w:ascii="Open Sans" w:hAnsi="Open Sans" w:cs="Open Sans"/>
                <w:sz w:val="20"/>
                <w:szCs w:val="20"/>
              </w:rPr>
              <w:lastRenderedPageBreak/>
              <w:t>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lastRenderedPageBreak/>
              <w:t>Not applicable</w:t>
            </w:r>
          </w:p>
        </w:tc>
        <w:tc>
          <w:tcPr>
            <w:tcW w:w="8282" w:type="dxa"/>
          </w:tcPr>
          <w:p w14:paraId="484AFC46" w14:textId="77777777" w:rsidR="00563EEE" w:rsidRPr="00EB6705" w:rsidRDefault="00563EEE" w:rsidP="00563EEE">
            <w:pPr>
              <w:rPr>
                <w:rFonts w:ascii="Open Sans" w:hAnsi="Open Sans" w:cs="Open Sans"/>
                <w:b/>
                <w:bCs/>
                <w:sz w:val="20"/>
                <w:szCs w:val="20"/>
                <w:lang w:val="en-US"/>
              </w:rPr>
            </w:pP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77777777" w:rsidR="00240FA8" w:rsidRPr="00EB6705" w:rsidRDefault="00240FA8" w:rsidP="00240FA8">
            <w:pPr>
              <w:rPr>
                <w:rFonts w:ascii="Open Sans" w:hAnsi="Open Sans" w:cs="Open Sans"/>
                <w:b/>
                <w:bCs/>
                <w:sz w:val="20"/>
                <w:szCs w:val="20"/>
                <w:lang w:val="en-US"/>
              </w:rPr>
            </w:pP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77777777" w:rsidR="00240FA8" w:rsidRPr="00EB6705" w:rsidRDefault="00240FA8" w:rsidP="00240FA8">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77777777" w:rsidR="0083399D" w:rsidRPr="00EB6705" w:rsidRDefault="0083399D" w:rsidP="0083399D">
            <w:pPr>
              <w:jc w:val="both"/>
              <w:rPr>
                <w:rFonts w:ascii="Open Sans" w:hAnsi="Open Sans" w:cs="Open Sans"/>
                <w:b/>
                <w:bCs/>
                <w:sz w:val="20"/>
                <w:szCs w:val="20"/>
                <w:lang w:val="en-US"/>
              </w:rPr>
            </w:pP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77777777" w:rsidR="001A2764" w:rsidRPr="00EB6705" w:rsidRDefault="001A2764" w:rsidP="001A2764">
            <w:pPr>
              <w:jc w:val="both"/>
              <w:rPr>
                <w:rFonts w:ascii="Open Sans" w:hAnsi="Open Sans" w:cs="Open Sans"/>
                <w:b/>
                <w:bCs/>
                <w:sz w:val="20"/>
                <w:szCs w:val="20"/>
                <w:lang w:val="nl-NL"/>
              </w:rPr>
            </w:pP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77777777" w:rsidR="001A2764" w:rsidRPr="00EB6705" w:rsidRDefault="001A2764" w:rsidP="001A2764">
            <w:pPr>
              <w:jc w:val="both"/>
              <w:rPr>
                <w:rFonts w:ascii="Open Sans" w:hAnsi="Open Sans" w:cs="Open Sans"/>
                <w:b/>
                <w:bCs/>
                <w:sz w:val="20"/>
                <w:szCs w:val="20"/>
                <w:lang w:val="nl-NL"/>
              </w:rPr>
            </w:pP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77777777" w:rsidR="001A2764" w:rsidRPr="00EB6705" w:rsidRDefault="001A2764" w:rsidP="001A2764">
            <w:pPr>
              <w:jc w:val="both"/>
              <w:rPr>
                <w:rFonts w:ascii="Open Sans" w:hAnsi="Open Sans" w:cs="Open Sans"/>
                <w:b/>
                <w:bCs/>
                <w:sz w:val="20"/>
                <w:szCs w:val="20"/>
                <w:lang w:val="nl-NL"/>
              </w:rPr>
            </w:pP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77777777" w:rsidR="001A2764" w:rsidRPr="00EB6705" w:rsidRDefault="001A2764" w:rsidP="001A2764">
            <w:pPr>
              <w:jc w:val="both"/>
              <w:rPr>
                <w:rFonts w:ascii="Open Sans" w:hAnsi="Open Sans" w:cs="Open Sans"/>
                <w:b/>
                <w:bCs/>
                <w:sz w:val="20"/>
                <w:szCs w:val="20"/>
                <w:lang w:val="nl-NL"/>
              </w:rPr>
            </w:pP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77777777" w:rsidR="009A5B0D" w:rsidRPr="00EB6705" w:rsidRDefault="009A5B0D" w:rsidP="009A5B0D">
            <w:pPr>
              <w:jc w:val="both"/>
              <w:rPr>
                <w:rFonts w:ascii="Open Sans" w:hAnsi="Open Sans" w:cs="Open Sans"/>
                <w:b/>
                <w:bCs/>
                <w:sz w:val="20"/>
                <w:szCs w:val="20"/>
                <w:lang w:val="en-US"/>
              </w:rPr>
            </w:pP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77777777" w:rsidR="00B83B74" w:rsidRPr="00EB6705" w:rsidRDefault="00B83B74" w:rsidP="00B83B74">
            <w:pPr>
              <w:rPr>
                <w:rFonts w:ascii="Open Sans" w:hAnsi="Open Sans" w:cs="Open Sans"/>
                <w:b/>
                <w:bCs/>
                <w:sz w:val="20"/>
                <w:szCs w:val="20"/>
                <w:lang w:val="en-US"/>
              </w:rPr>
            </w:pP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lastRenderedPageBreak/>
              <w:t xml:space="preserve">When providing additional feedback please reference the paragraph numbers, where possible and provide a short explanation to support your comments. </w:t>
            </w:r>
          </w:p>
        </w:tc>
        <w:tc>
          <w:tcPr>
            <w:tcW w:w="9922" w:type="dxa"/>
          </w:tcPr>
          <w:p w14:paraId="67E8759F" w14:textId="77777777" w:rsidR="00A55295" w:rsidRDefault="00A55295" w:rsidP="009F74AC">
            <w:pPr>
              <w:rPr>
                <w:rFonts w:ascii="Open Sans" w:hAnsi="Open Sans" w:cs="Open Sans"/>
                <w:b/>
                <w:bC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0C51" w14:textId="77777777" w:rsidR="00007B2C" w:rsidRDefault="00007B2C" w:rsidP="009F74AC">
      <w:pPr>
        <w:spacing w:after="0" w:line="240" w:lineRule="auto"/>
      </w:pPr>
      <w:r>
        <w:separator/>
      </w:r>
    </w:p>
  </w:endnote>
  <w:endnote w:type="continuationSeparator" w:id="0">
    <w:p w14:paraId="4F838C41" w14:textId="77777777" w:rsidR="00007B2C" w:rsidRDefault="00007B2C" w:rsidP="009F74AC">
      <w:pPr>
        <w:spacing w:after="0" w:line="240" w:lineRule="auto"/>
      </w:pPr>
      <w:r>
        <w:continuationSeparator/>
      </w:r>
    </w:p>
  </w:endnote>
  <w:endnote w:type="continuationNotice" w:id="1">
    <w:p w14:paraId="4BF20B5E" w14:textId="77777777" w:rsidR="00007B2C" w:rsidRDefault="00007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D3DD" w14:textId="77777777" w:rsidR="00007B2C" w:rsidRDefault="00007B2C" w:rsidP="009F74AC">
      <w:pPr>
        <w:spacing w:after="0" w:line="240" w:lineRule="auto"/>
      </w:pPr>
      <w:r>
        <w:separator/>
      </w:r>
    </w:p>
  </w:footnote>
  <w:footnote w:type="continuationSeparator" w:id="0">
    <w:p w14:paraId="0FDF8AB8" w14:textId="77777777" w:rsidR="00007B2C" w:rsidRDefault="00007B2C" w:rsidP="009F74AC">
      <w:pPr>
        <w:spacing w:after="0" w:line="240" w:lineRule="auto"/>
      </w:pPr>
      <w:r>
        <w:continuationSeparator/>
      </w:r>
    </w:p>
  </w:footnote>
  <w:footnote w:type="continuationNotice" w:id="1">
    <w:p w14:paraId="69CB94B7" w14:textId="77777777" w:rsidR="00007B2C" w:rsidRDefault="00007B2C">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20F61"/>
    <w:rsid w:val="00326516"/>
    <w:rsid w:val="003325FA"/>
    <w:rsid w:val="00336705"/>
    <w:rsid w:val="003403BD"/>
    <w:rsid w:val="0035010D"/>
    <w:rsid w:val="00354A3A"/>
    <w:rsid w:val="003745FB"/>
    <w:rsid w:val="00374B59"/>
    <w:rsid w:val="003755E7"/>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6D53"/>
    <w:rsid w:val="0088436D"/>
    <w:rsid w:val="008A1B93"/>
    <w:rsid w:val="008A350D"/>
    <w:rsid w:val="008C6B40"/>
    <w:rsid w:val="008C7009"/>
    <w:rsid w:val="008C76B2"/>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5E58"/>
    <w:rsid w:val="00A17864"/>
    <w:rsid w:val="00A22952"/>
    <w:rsid w:val="00A276B0"/>
    <w:rsid w:val="00A3014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5BDD"/>
    <w:rsid w:val="00AC4F2A"/>
    <w:rsid w:val="00AC6610"/>
    <w:rsid w:val="00AD01FF"/>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12</cp:revision>
  <dcterms:created xsi:type="dcterms:W3CDTF">2023-09-21T14:16:00Z</dcterms:created>
  <dcterms:modified xsi:type="dcterms:W3CDTF">2023-11-09T11:34:00Z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